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F3" w:rsidRDefault="002D4FF9" w:rsidP="001337F3">
      <w:pPr>
        <w:pStyle w:val="Ttulo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Perspectivas Jurídicas</w:t>
      </w:r>
    </w:p>
    <w:p w:rsidR="00E65F01" w:rsidRDefault="00E65F01" w:rsidP="00D92301">
      <w:pPr>
        <w:jc w:val="both"/>
        <w:rPr>
          <w:rFonts w:cs="Times New Roman"/>
        </w:rPr>
      </w:pPr>
      <w:bookmarkStart w:id="0" w:name="_GoBack"/>
      <w:bookmarkEnd w:id="0"/>
    </w:p>
    <w:p w:rsidR="00E65F01" w:rsidRPr="005C2859" w:rsidRDefault="00E65F01" w:rsidP="00D92301">
      <w:pPr>
        <w:pStyle w:val="Ttulo3"/>
        <w:jc w:val="both"/>
        <w:rPr>
          <w:sz w:val="32"/>
          <w:szCs w:val="32"/>
        </w:rPr>
      </w:pPr>
      <w:r w:rsidRPr="005C2859">
        <w:rPr>
          <w:sz w:val="32"/>
          <w:szCs w:val="32"/>
        </w:rPr>
        <w:t>Tabela 1. Regime Jurídico</w:t>
      </w:r>
    </w:p>
    <w:p w:rsidR="00E65F01" w:rsidRPr="003F664D" w:rsidRDefault="00E65F01" w:rsidP="00D9230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sz w:val="24"/>
          <w:szCs w:val="24"/>
        </w:rPr>
        <w:t xml:space="preserve">Compreende a normatização básica que regulamenta o </w:t>
      </w:r>
      <w:r w:rsidR="00B76570">
        <w:rPr>
          <w:sz w:val="24"/>
          <w:szCs w:val="24"/>
        </w:rPr>
        <w:t>vínculo principal</w:t>
      </w:r>
      <w:r>
        <w:rPr>
          <w:sz w:val="24"/>
          <w:szCs w:val="24"/>
        </w:rPr>
        <w:t xml:space="preserve"> do agente público com a Administração.</w:t>
      </w:r>
    </w:p>
    <w:p w:rsidR="00E65F01" w:rsidRPr="00447596" w:rsidRDefault="00E65F01" w:rsidP="00D92301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10 – Estatutário - Estadual</w:t>
      </w:r>
    </w:p>
    <w:p w:rsidR="00E65F01" w:rsidRDefault="00E65F01" w:rsidP="00D9230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sz w:val="24"/>
          <w:szCs w:val="24"/>
        </w:rPr>
        <w:t>Refere-se ao Regime Jurídico Único do Estado do Rio Grande do Norte, regulado pela Lei Complementar Estadual nº 122/1994.</w:t>
      </w:r>
    </w:p>
    <w:p w:rsidR="00E65F01" w:rsidRPr="00447596" w:rsidRDefault="00E65F01" w:rsidP="00D92301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11 – Estatutário – Municipal</w:t>
      </w:r>
    </w:p>
    <w:p w:rsidR="00E65F01" w:rsidRDefault="00E65F01" w:rsidP="00D92301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sz w:val="24"/>
          <w:szCs w:val="24"/>
        </w:rPr>
        <w:t>Refere-se ao Regime Jurídico Único de cada Município do</w:t>
      </w:r>
      <w:r w:rsidR="00B76570">
        <w:rPr>
          <w:sz w:val="24"/>
          <w:szCs w:val="24"/>
        </w:rPr>
        <w:t xml:space="preserve"> Estado do</w:t>
      </w:r>
      <w:r>
        <w:rPr>
          <w:sz w:val="24"/>
          <w:szCs w:val="24"/>
        </w:rPr>
        <w:t xml:space="preserve"> Rio Grande do Norte, regulado </w:t>
      </w:r>
      <w:r w:rsidR="00B76570">
        <w:rPr>
          <w:sz w:val="24"/>
          <w:szCs w:val="24"/>
        </w:rPr>
        <w:t>por</w:t>
      </w:r>
      <w:r>
        <w:rPr>
          <w:sz w:val="24"/>
          <w:szCs w:val="24"/>
        </w:rPr>
        <w:t xml:space="preserve"> Lei Municipal.</w:t>
      </w:r>
    </w:p>
    <w:p w:rsidR="00E65F01" w:rsidRDefault="00E65F01" w:rsidP="00D92301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12 – Celetista</w:t>
      </w:r>
    </w:p>
    <w:p w:rsidR="00E65F01" w:rsidRDefault="00E65F01" w:rsidP="00D92301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Refere-se ao Regime Jurídico denominado de Trabalhista,</w:t>
      </w:r>
      <w:r w:rsidRPr="006E19AD">
        <w:rPr>
          <w:b w:val="0"/>
          <w:bCs w:val="0"/>
          <w:sz w:val="24"/>
          <w:szCs w:val="24"/>
          <w:lang w:eastAsia="en-US"/>
        </w:rPr>
        <w:t xml:space="preserve"> regulado </w:t>
      </w:r>
      <w:r>
        <w:rPr>
          <w:b w:val="0"/>
          <w:bCs w:val="0"/>
          <w:sz w:val="24"/>
          <w:szCs w:val="24"/>
          <w:lang w:eastAsia="en-US"/>
        </w:rPr>
        <w:t>pela CLT (Consolidação das Leis do Trabalho – Decreto-lei nº 5.452/1943)</w:t>
      </w:r>
      <w:r w:rsidRPr="006E19AD">
        <w:rPr>
          <w:b w:val="0"/>
          <w:bCs w:val="0"/>
          <w:sz w:val="24"/>
          <w:szCs w:val="24"/>
          <w:lang w:eastAsia="en-US"/>
        </w:rPr>
        <w:t>.</w:t>
      </w:r>
    </w:p>
    <w:p w:rsidR="00E65F01" w:rsidRDefault="00E65F01" w:rsidP="00D92301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13 – Especial</w:t>
      </w:r>
    </w:p>
    <w:p w:rsidR="00E65F01" w:rsidRDefault="00E65F01" w:rsidP="00D92301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Refere-se àqueles servidores temporários disciplinados pelo art. 37, IX da Constituição Federal de 1988.</w:t>
      </w:r>
    </w:p>
    <w:p w:rsidR="00E65F01" w:rsidRDefault="00E65F01" w:rsidP="00D92301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</w:p>
    <w:p w:rsidR="00E65F01" w:rsidRPr="005C2859" w:rsidRDefault="00E65F01" w:rsidP="0022780B">
      <w:pPr>
        <w:pStyle w:val="Ttulo3"/>
        <w:jc w:val="both"/>
        <w:rPr>
          <w:sz w:val="32"/>
          <w:szCs w:val="32"/>
        </w:rPr>
      </w:pPr>
      <w:r w:rsidRPr="005C2859">
        <w:rPr>
          <w:sz w:val="32"/>
          <w:szCs w:val="32"/>
        </w:rPr>
        <w:t>Tabela 2. Forma Ingresso</w:t>
      </w:r>
    </w:p>
    <w:p w:rsidR="00E65F01" w:rsidRDefault="00E65F01" w:rsidP="0022780B">
      <w:pPr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Aponta o mecanismo por meio do qual o agente público ingressou nos quadros da Administração.</w:t>
      </w:r>
    </w:p>
    <w:p w:rsidR="00E65F01" w:rsidRDefault="00E65F01" w:rsidP="0022780B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20 – Concurso Público</w:t>
      </w:r>
    </w:p>
    <w:p w:rsidR="00E65F01" w:rsidRDefault="00E65F01" w:rsidP="0022780B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É a forma de ingresso estatuída pelo art. 37, inc. II da Constituição Federal, com redação dada pela Emenda Constitucional nº 19/1998.</w:t>
      </w:r>
      <w:r w:rsidR="00005AE4">
        <w:rPr>
          <w:b w:val="0"/>
          <w:bCs w:val="0"/>
          <w:sz w:val="24"/>
          <w:szCs w:val="24"/>
          <w:lang w:eastAsia="en-US"/>
        </w:rPr>
        <w:t xml:space="preserve"> O concurso público pode ser </w:t>
      </w:r>
      <w:r w:rsidR="00005AE4" w:rsidRPr="00005AE4">
        <w:rPr>
          <w:b w:val="0"/>
          <w:bCs w:val="0"/>
          <w:sz w:val="24"/>
          <w:szCs w:val="24"/>
          <w:lang w:eastAsia="en-US"/>
        </w:rPr>
        <w:t xml:space="preserve">de provas ou de provas e títulos, </w:t>
      </w:r>
      <w:r w:rsidR="00005AE4">
        <w:rPr>
          <w:b w:val="0"/>
          <w:bCs w:val="0"/>
          <w:sz w:val="24"/>
          <w:szCs w:val="24"/>
          <w:lang w:eastAsia="en-US"/>
        </w:rPr>
        <w:t>em função</w:t>
      </w:r>
      <w:r w:rsidR="00005AE4" w:rsidRPr="00005AE4">
        <w:rPr>
          <w:b w:val="0"/>
          <w:bCs w:val="0"/>
          <w:sz w:val="24"/>
          <w:szCs w:val="24"/>
          <w:lang w:eastAsia="en-US"/>
        </w:rPr>
        <w:t xml:space="preserve"> </w:t>
      </w:r>
      <w:r w:rsidR="00005AE4">
        <w:rPr>
          <w:b w:val="0"/>
          <w:bCs w:val="0"/>
          <w:sz w:val="24"/>
          <w:szCs w:val="24"/>
          <w:lang w:eastAsia="en-US"/>
        </w:rPr>
        <w:t>d</w:t>
      </w:r>
      <w:r w:rsidR="00005AE4" w:rsidRPr="00005AE4">
        <w:rPr>
          <w:b w:val="0"/>
          <w:bCs w:val="0"/>
          <w:sz w:val="24"/>
          <w:szCs w:val="24"/>
          <w:lang w:eastAsia="en-US"/>
        </w:rPr>
        <w:t>a natureza e a c</w:t>
      </w:r>
      <w:r w:rsidR="00005AE4">
        <w:rPr>
          <w:b w:val="0"/>
          <w:bCs w:val="0"/>
          <w:sz w:val="24"/>
          <w:szCs w:val="24"/>
          <w:lang w:eastAsia="en-US"/>
        </w:rPr>
        <w:t>omplexidade do cargo ou emprego.</w:t>
      </w:r>
    </w:p>
    <w:p w:rsidR="00E65F01" w:rsidRDefault="00E65F01" w:rsidP="0022780B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Código 21 – </w:t>
      </w:r>
      <w:r w:rsidR="00005AE4">
        <w:rPr>
          <w:sz w:val="28"/>
          <w:szCs w:val="28"/>
        </w:rPr>
        <w:t>Nomeação para Cargo em Comissão</w:t>
      </w:r>
    </w:p>
    <w:p w:rsidR="00E65F01" w:rsidRDefault="00E65F01" w:rsidP="0022780B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lastRenderedPageBreak/>
        <w:t xml:space="preserve">São os servidores que possuem </w:t>
      </w:r>
      <w:r w:rsidRPr="002A2684">
        <w:rPr>
          <w:b w:val="0"/>
          <w:bCs w:val="0"/>
          <w:sz w:val="24"/>
          <w:szCs w:val="24"/>
          <w:lang w:eastAsia="en-US"/>
        </w:rPr>
        <w:t>cargo em comissão declarado</w:t>
      </w:r>
      <w:r>
        <w:rPr>
          <w:b w:val="0"/>
          <w:bCs w:val="0"/>
          <w:sz w:val="24"/>
          <w:szCs w:val="24"/>
          <w:lang w:eastAsia="en-US"/>
        </w:rPr>
        <w:t>s</w:t>
      </w:r>
      <w:r w:rsidRPr="002A2684">
        <w:rPr>
          <w:b w:val="0"/>
          <w:bCs w:val="0"/>
          <w:sz w:val="24"/>
          <w:szCs w:val="24"/>
          <w:lang w:eastAsia="en-US"/>
        </w:rPr>
        <w:t xml:space="preserve"> em lei de livre nomeação e exoneração</w:t>
      </w:r>
      <w:r>
        <w:rPr>
          <w:b w:val="0"/>
          <w:bCs w:val="0"/>
          <w:sz w:val="24"/>
          <w:szCs w:val="24"/>
          <w:lang w:eastAsia="en-US"/>
        </w:rPr>
        <w:t>, disciplinado pela parte final do art. 37, inc. II</w:t>
      </w:r>
      <w:r w:rsidR="00F46829">
        <w:rPr>
          <w:b w:val="0"/>
          <w:bCs w:val="0"/>
          <w:sz w:val="24"/>
          <w:szCs w:val="24"/>
          <w:lang w:eastAsia="en-US"/>
        </w:rPr>
        <w:t>,</w:t>
      </w:r>
      <w:r>
        <w:rPr>
          <w:b w:val="0"/>
          <w:bCs w:val="0"/>
          <w:sz w:val="24"/>
          <w:szCs w:val="24"/>
          <w:lang w:eastAsia="en-US"/>
        </w:rPr>
        <w:t xml:space="preserve"> da Constituição Federal.</w:t>
      </w:r>
    </w:p>
    <w:p w:rsidR="00E65F01" w:rsidRDefault="00E65F01" w:rsidP="0022780B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22 – Contratação Temporária (Excepcional Interesse Público)</w:t>
      </w:r>
    </w:p>
    <w:p w:rsidR="00E65F01" w:rsidRDefault="00E65F01" w:rsidP="0022780B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Refere-se àqueles servidores contratados</w:t>
      </w:r>
      <w:r w:rsidRPr="00E4237A">
        <w:rPr>
          <w:b w:val="0"/>
          <w:bCs w:val="0"/>
          <w:sz w:val="24"/>
          <w:szCs w:val="24"/>
          <w:lang w:eastAsia="en-US"/>
        </w:rPr>
        <w:t xml:space="preserve"> por tempo determinado para atender a necessidade temporária de excepcional interesse público</w:t>
      </w:r>
      <w:r>
        <w:rPr>
          <w:b w:val="0"/>
          <w:bCs w:val="0"/>
          <w:sz w:val="24"/>
          <w:szCs w:val="24"/>
          <w:lang w:eastAsia="en-US"/>
        </w:rPr>
        <w:t>, consoante art. 37, IX</w:t>
      </w:r>
      <w:r w:rsidR="00F46829">
        <w:rPr>
          <w:b w:val="0"/>
          <w:bCs w:val="0"/>
          <w:sz w:val="24"/>
          <w:szCs w:val="24"/>
          <w:lang w:eastAsia="en-US"/>
        </w:rPr>
        <w:t>,</w:t>
      </w:r>
      <w:r>
        <w:rPr>
          <w:b w:val="0"/>
          <w:bCs w:val="0"/>
          <w:sz w:val="24"/>
          <w:szCs w:val="24"/>
          <w:lang w:eastAsia="en-US"/>
        </w:rPr>
        <w:t xml:space="preserve"> da Constituição Federal.</w:t>
      </w:r>
    </w:p>
    <w:p w:rsidR="00E65F01" w:rsidRDefault="00E65F01" w:rsidP="0022780B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23 – Eleição</w:t>
      </w:r>
    </w:p>
    <w:p w:rsidR="00E65F01" w:rsidRDefault="00E65F01" w:rsidP="0022780B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Processo de escolha de representantes por meio de votação.</w:t>
      </w:r>
    </w:p>
    <w:p w:rsidR="00454938" w:rsidRDefault="00454938" w:rsidP="00454938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24 – Processo Seletivo</w:t>
      </w:r>
    </w:p>
    <w:p w:rsidR="006814BA" w:rsidRDefault="006814BA" w:rsidP="006814BA">
      <w:pPr>
        <w:pStyle w:val="Ttulo3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Compreende a hipótese do art. 198, </w:t>
      </w:r>
      <w:r w:rsidRPr="006814BA">
        <w:rPr>
          <w:b w:val="0"/>
          <w:bCs w:val="0"/>
          <w:sz w:val="24"/>
          <w:szCs w:val="24"/>
          <w:lang w:eastAsia="en-US"/>
        </w:rPr>
        <w:t>§ 4º</w:t>
      </w:r>
      <w:r>
        <w:rPr>
          <w:b w:val="0"/>
          <w:bCs w:val="0"/>
          <w:sz w:val="24"/>
          <w:szCs w:val="24"/>
          <w:lang w:eastAsia="en-US"/>
        </w:rPr>
        <w:t>, da Constituição Federal, no qual se permite</w:t>
      </w:r>
      <w:r w:rsidRPr="006814BA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aos</w:t>
      </w:r>
      <w:r w:rsidRPr="006814BA">
        <w:rPr>
          <w:b w:val="0"/>
          <w:bCs w:val="0"/>
          <w:sz w:val="24"/>
          <w:szCs w:val="24"/>
          <w:lang w:eastAsia="en-US"/>
        </w:rPr>
        <w:t xml:space="preserve"> gestores locais do sistema único de saúde </w:t>
      </w:r>
      <w:r>
        <w:rPr>
          <w:b w:val="0"/>
          <w:bCs w:val="0"/>
          <w:sz w:val="24"/>
          <w:szCs w:val="24"/>
          <w:lang w:eastAsia="en-US"/>
        </w:rPr>
        <w:t>a admissão</w:t>
      </w:r>
      <w:r w:rsidRPr="006814BA">
        <w:rPr>
          <w:b w:val="0"/>
          <w:bCs w:val="0"/>
          <w:sz w:val="24"/>
          <w:szCs w:val="24"/>
          <w:lang w:eastAsia="en-US"/>
        </w:rPr>
        <w:t xml:space="preserve"> </w:t>
      </w:r>
      <w:r w:rsidR="00954C9A">
        <w:rPr>
          <w:b w:val="0"/>
          <w:bCs w:val="0"/>
          <w:sz w:val="24"/>
          <w:szCs w:val="24"/>
          <w:lang w:eastAsia="en-US"/>
        </w:rPr>
        <w:t xml:space="preserve">de </w:t>
      </w:r>
      <w:r w:rsidRPr="006814BA">
        <w:rPr>
          <w:b w:val="0"/>
          <w:bCs w:val="0"/>
          <w:sz w:val="24"/>
          <w:szCs w:val="24"/>
          <w:lang w:eastAsia="en-US"/>
        </w:rPr>
        <w:t xml:space="preserve">agentes comunitários de saúde e agentes de combate às endemias por meio de processo seletivo público, de acordo com a natureza e complexidade de suas atribuições e requisitos específicos para sua atuação. </w:t>
      </w:r>
    </w:p>
    <w:p w:rsidR="00F46829" w:rsidRDefault="00454938" w:rsidP="00F46829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25</w:t>
      </w:r>
      <w:r w:rsidR="00F46829">
        <w:rPr>
          <w:sz w:val="28"/>
          <w:szCs w:val="28"/>
        </w:rPr>
        <w:t xml:space="preserve"> – Estabilizados (Art. 19 do ADCT)</w:t>
      </w:r>
    </w:p>
    <w:p w:rsidR="00F46829" w:rsidRDefault="00FE0572" w:rsidP="0022780B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São o</w:t>
      </w:r>
      <w:r w:rsidR="00F46829" w:rsidRPr="00F46829">
        <w:rPr>
          <w:b w:val="0"/>
          <w:bCs w:val="0"/>
          <w:sz w:val="24"/>
          <w:szCs w:val="24"/>
          <w:lang w:eastAsia="en-US"/>
        </w:rPr>
        <w:t>s servidores públicos civis da União, dos Estados, do Distrito Federal e dos Municípios, da administração direta, autárquica e das fundações públicas,</w:t>
      </w:r>
      <w:r>
        <w:rPr>
          <w:b w:val="0"/>
          <w:bCs w:val="0"/>
          <w:sz w:val="24"/>
          <w:szCs w:val="24"/>
          <w:lang w:eastAsia="en-US"/>
        </w:rPr>
        <w:t xml:space="preserve"> que se encontravam</w:t>
      </w:r>
      <w:r w:rsidR="00F46829" w:rsidRPr="00F46829">
        <w:rPr>
          <w:b w:val="0"/>
          <w:bCs w:val="0"/>
          <w:sz w:val="24"/>
          <w:szCs w:val="24"/>
          <w:lang w:eastAsia="en-US"/>
        </w:rPr>
        <w:t xml:space="preserve"> em exercício </w:t>
      </w:r>
      <w:r w:rsidR="00081996" w:rsidRPr="00F46829">
        <w:rPr>
          <w:b w:val="0"/>
          <w:bCs w:val="0"/>
          <w:sz w:val="24"/>
          <w:szCs w:val="24"/>
          <w:lang w:eastAsia="en-US"/>
        </w:rPr>
        <w:t>há pel</w:t>
      </w:r>
      <w:r w:rsidR="00081996">
        <w:rPr>
          <w:b w:val="0"/>
          <w:bCs w:val="0"/>
          <w:sz w:val="24"/>
          <w:szCs w:val="24"/>
          <w:lang w:eastAsia="en-US"/>
        </w:rPr>
        <w:t>o menos cinco anos continuados anteriores a</w:t>
      </w:r>
      <w:r w:rsidR="00F46829" w:rsidRPr="00F46829">
        <w:rPr>
          <w:b w:val="0"/>
          <w:bCs w:val="0"/>
          <w:sz w:val="24"/>
          <w:szCs w:val="24"/>
          <w:lang w:eastAsia="en-US"/>
        </w:rPr>
        <w:t xml:space="preserve"> data da promulgação da Constituição</w:t>
      </w:r>
      <w:r>
        <w:rPr>
          <w:b w:val="0"/>
          <w:bCs w:val="0"/>
          <w:sz w:val="24"/>
          <w:szCs w:val="24"/>
          <w:lang w:eastAsia="en-US"/>
        </w:rPr>
        <w:t xml:space="preserve"> (05 de outubro de 1988)</w:t>
      </w:r>
      <w:r w:rsidR="00F46829" w:rsidRPr="00F46829">
        <w:rPr>
          <w:b w:val="0"/>
          <w:bCs w:val="0"/>
          <w:sz w:val="24"/>
          <w:szCs w:val="24"/>
          <w:lang w:eastAsia="en-US"/>
        </w:rPr>
        <w:t xml:space="preserve">, </w:t>
      </w:r>
      <w:r w:rsidR="00081996">
        <w:rPr>
          <w:b w:val="0"/>
          <w:bCs w:val="0"/>
          <w:sz w:val="24"/>
          <w:szCs w:val="24"/>
          <w:lang w:eastAsia="en-US"/>
        </w:rPr>
        <w:t xml:space="preserve">e, por força do art. 19 do ADCT, </w:t>
      </w:r>
      <w:r>
        <w:rPr>
          <w:b w:val="0"/>
          <w:bCs w:val="0"/>
          <w:sz w:val="24"/>
          <w:szCs w:val="24"/>
          <w:lang w:eastAsia="en-US"/>
        </w:rPr>
        <w:t xml:space="preserve">foram </w:t>
      </w:r>
      <w:r w:rsidR="00F46829" w:rsidRPr="00F46829">
        <w:rPr>
          <w:b w:val="0"/>
          <w:bCs w:val="0"/>
          <w:sz w:val="24"/>
          <w:szCs w:val="24"/>
          <w:lang w:eastAsia="en-US"/>
        </w:rPr>
        <w:t>considerados estáveis no serviço público.</w:t>
      </w:r>
    </w:p>
    <w:p w:rsidR="00E65F01" w:rsidRDefault="00E65F01" w:rsidP="0022780B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</w:p>
    <w:p w:rsidR="00E65F01" w:rsidRPr="005C2859" w:rsidRDefault="00E65F01" w:rsidP="00E4237A">
      <w:pPr>
        <w:pStyle w:val="Ttulo3"/>
        <w:jc w:val="both"/>
        <w:rPr>
          <w:sz w:val="32"/>
          <w:szCs w:val="32"/>
        </w:rPr>
      </w:pPr>
      <w:r w:rsidRPr="005C2859">
        <w:rPr>
          <w:sz w:val="32"/>
          <w:szCs w:val="32"/>
        </w:rPr>
        <w:t>Tabela 3. Situação Funcional</w:t>
      </w:r>
    </w:p>
    <w:p w:rsidR="00E65F01" w:rsidRDefault="00E65F01" w:rsidP="00E4237A">
      <w:pPr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Denota a situação do vínculo funcional do agente público.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30 – Ativo</w:t>
      </w:r>
    </w:p>
    <w:p w:rsidR="00E65F01" w:rsidRPr="00324439" w:rsidRDefault="00E65F01" w:rsidP="00E4237A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 w:rsidRPr="00324439">
        <w:rPr>
          <w:b w:val="0"/>
          <w:bCs w:val="0"/>
          <w:sz w:val="24"/>
          <w:szCs w:val="24"/>
          <w:lang w:eastAsia="en-US"/>
        </w:rPr>
        <w:t>Refere-se aos servidores que estão em atividade na Administração Pública.</w:t>
      </w:r>
    </w:p>
    <w:p w:rsidR="00E65F01" w:rsidRPr="00324439" w:rsidRDefault="00E65F01" w:rsidP="00E4237A">
      <w:pPr>
        <w:pStyle w:val="Ttulo3"/>
        <w:jc w:val="both"/>
        <w:rPr>
          <w:sz w:val="28"/>
          <w:szCs w:val="28"/>
        </w:rPr>
      </w:pPr>
      <w:r w:rsidRPr="00324439">
        <w:rPr>
          <w:sz w:val="28"/>
          <w:szCs w:val="28"/>
        </w:rPr>
        <w:t>Código 31 – Inativos</w:t>
      </w:r>
    </w:p>
    <w:p w:rsidR="00E65F01" w:rsidRDefault="00E65F01" w:rsidP="00E4237A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 w:rsidRPr="00324439">
        <w:rPr>
          <w:b w:val="0"/>
          <w:bCs w:val="0"/>
          <w:sz w:val="24"/>
          <w:szCs w:val="24"/>
          <w:lang w:eastAsia="en-US"/>
        </w:rPr>
        <w:t>Refere-se aos servidores que não estão em atividade na Administração Pública e já se aposentaram.</w:t>
      </w:r>
    </w:p>
    <w:p w:rsidR="00E65F01" w:rsidRDefault="00E65F01" w:rsidP="00E4237A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</w:p>
    <w:p w:rsidR="00E65F01" w:rsidRPr="005C2859" w:rsidRDefault="00E65F01" w:rsidP="00E4237A">
      <w:pPr>
        <w:pStyle w:val="Ttulo3"/>
        <w:jc w:val="both"/>
        <w:rPr>
          <w:sz w:val="32"/>
          <w:szCs w:val="32"/>
        </w:rPr>
      </w:pPr>
      <w:r w:rsidRPr="005C2859">
        <w:rPr>
          <w:sz w:val="32"/>
          <w:szCs w:val="32"/>
        </w:rPr>
        <w:lastRenderedPageBreak/>
        <w:t>Tabela 4. Tipo Pensão</w:t>
      </w:r>
    </w:p>
    <w:p w:rsidR="00E65F01" w:rsidRDefault="00E65F01" w:rsidP="00E4237A">
      <w:pPr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Aponta a natureza da pensão paga pela Administração ao pensionista.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1 – Previdênciária</w:t>
      </w:r>
    </w:p>
    <w:p w:rsidR="00E65F01" w:rsidRDefault="009D2554" w:rsidP="00E4237A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É aquela paga aos familiares do agente público falecido, </w:t>
      </w:r>
      <w:r w:rsidR="003D5828">
        <w:rPr>
          <w:b w:val="0"/>
          <w:bCs w:val="0"/>
          <w:sz w:val="24"/>
          <w:szCs w:val="24"/>
          <w:lang w:eastAsia="en-US"/>
        </w:rPr>
        <w:t xml:space="preserve">decorrente das contribuições efetuadas pelo agente público instituidor da pensão, sendo </w:t>
      </w:r>
      <w:r>
        <w:rPr>
          <w:b w:val="0"/>
          <w:bCs w:val="0"/>
          <w:sz w:val="24"/>
          <w:szCs w:val="24"/>
          <w:lang w:eastAsia="en-US"/>
        </w:rPr>
        <w:t xml:space="preserve">custeada pelo órgão previdenciário próprio do ente ou, na ausência </w:t>
      </w:r>
      <w:r w:rsidR="003D5828">
        <w:rPr>
          <w:b w:val="0"/>
          <w:bCs w:val="0"/>
          <w:sz w:val="24"/>
          <w:szCs w:val="24"/>
          <w:lang w:eastAsia="en-US"/>
        </w:rPr>
        <w:t>deste, pelo Instituto Nacional do Seguro Social.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2 – Por decisão judicial</w:t>
      </w:r>
    </w:p>
    <w:p w:rsidR="00E65F01" w:rsidRDefault="00E65F01" w:rsidP="00E4237A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Pensão implementad</w:t>
      </w:r>
      <w:r w:rsidR="006814BA">
        <w:rPr>
          <w:b w:val="0"/>
          <w:bCs w:val="0"/>
          <w:sz w:val="24"/>
          <w:szCs w:val="24"/>
          <w:lang w:eastAsia="en-US"/>
        </w:rPr>
        <w:t>a por força de decisão judicial.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</w:p>
    <w:p w:rsidR="00E65F01" w:rsidRPr="005C2859" w:rsidRDefault="00E65F01" w:rsidP="00E4237A">
      <w:pPr>
        <w:pStyle w:val="Ttulo3"/>
        <w:jc w:val="both"/>
        <w:rPr>
          <w:sz w:val="32"/>
          <w:szCs w:val="32"/>
        </w:rPr>
      </w:pPr>
      <w:r w:rsidRPr="005C2859">
        <w:rPr>
          <w:sz w:val="32"/>
          <w:szCs w:val="32"/>
        </w:rPr>
        <w:t>Tabela 9. Vínculo</w:t>
      </w:r>
    </w:p>
    <w:p w:rsidR="00E65F01" w:rsidRDefault="00E65F01" w:rsidP="00E4237A">
      <w:pPr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Explicita a natureza do liame entre o agente público e a Administração.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70 – Cargo Efetivo</w:t>
      </w:r>
    </w:p>
    <w:p w:rsidR="00E65F01" w:rsidRPr="00A67A3A" w:rsidRDefault="00E65F01" w:rsidP="007B5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67A3A">
        <w:rPr>
          <w:sz w:val="24"/>
          <w:szCs w:val="24"/>
        </w:rPr>
        <w:t>São aqueles cargos que possuem característica de permanência e dependem de previsão legal expressa e prévia habilitação em concurso público de provas ou de provas e títulos conforme o disposto no art. 37, II da Constituição Federal.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 w:rsidRPr="00A67A3A">
        <w:rPr>
          <w:sz w:val="28"/>
          <w:szCs w:val="28"/>
        </w:rPr>
        <w:t>Código 71 – Cargo Comissionado</w:t>
      </w:r>
    </w:p>
    <w:p w:rsidR="00E65F01" w:rsidRDefault="00E65F01" w:rsidP="001A2230">
      <w:pPr>
        <w:pStyle w:val="Ttulo3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1A2230">
        <w:rPr>
          <w:b w:val="0"/>
          <w:bCs w:val="0"/>
          <w:sz w:val="24"/>
          <w:szCs w:val="24"/>
          <w:lang w:eastAsia="en-US"/>
        </w:rPr>
        <w:t xml:space="preserve">Os cargos em comissão estão diretamente atrelados a uma função de direção, chefia </w:t>
      </w:r>
      <w:r w:rsidR="00954C9A">
        <w:rPr>
          <w:b w:val="0"/>
          <w:bCs w:val="0"/>
          <w:sz w:val="24"/>
          <w:szCs w:val="24"/>
          <w:lang w:eastAsia="en-US"/>
        </w:rPr>
        <w:t>ou</w:t>
      </w:r>
      <w:r w:rsidRPr="001A2230">
        <w:rPr>
          <w:b w:val="0"/>
          <w:bCs w:val="0"/>
          <w:sz w:val="24"/>
          <w:szCs w:val="24"/>
          <w:lang w:eastAsia="en-US"/>
        </w:rPr>
        <w:t xml:space="preserve"> assessoramento (art. 37, inc. V da CF) e são de livre nomeação e exone</w:t>
      </w:r>
      <w:r>
        <w:rPr>
          <w:b w:val="0"/>
          <w:bCs w:val="0"/>
          <w:sz w:val="24"/>
          <w:szCs w:val="24"/>
          <w:lang w:eastAsia="en-US"/>
        </w:rPr>
        <w:t>ração (art. 37, inc. II da CF), devendo ser criados previamente por lei.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72 – Contratado</w:t>
      </w:r>
    </w:p>
    <w:p w:rsidR="00E65F01" w:rsidRDefault="00E65F01" w:rsidP="00E4237A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Refere-se aos agentes públicos enquadrados na condição de</w:t>
      </w:r>
      <w:r w:rsidRPr="001A2230">
        <w:rPr>
          <w:b w:val="0"/>
          <w:bCs w:val="0"/>
          <w:sz w:val="24"/>
          <w:szCs w:val="24"/>
          <w:lang w:eastAsia="en-US"/>
        </w:rPr>
        <w:t xml:space="preserve"> contratação temporária por tempo determinado por excepcional interesse público, a qual deve ser expressamente regulada por Lei (art. 37, inc. IX).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73 – Convocado</w:t>
      </w:r>
    </w:p>
    <w:p w:rsidR="00911A91" w:rsidRDefault="00911A91" w:rsidP="00911A91">
      <w:pPr>
        <w:pStyle w:val="Ttulo3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911A91">
        <w:rPr>
          <w:b w:val="0"/>
          <w:bCs w:val="0"/>
          <w:sz w:val="24"/>
          <w:szCs w:val="24"/>
          <w:lang w:eastAsia="en-US"/>
        </w:rPr>
        <w:t>Servidor durante o período do curso de formação.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74 – Membro de Poder</w:t>
      </w:r>
    </w:p>
    <w:p w:rsidR="00E65F01" w:rsidRDefault="00CE5CE7" w:rsidP="00E4237A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lastRenderedPageBreak/>
        <w:t>São aqueles investidos no serviço público de forma vitalícia. Esta categoria, c</w:t>
      </w:r>
      <w:r w:rsidR="00E65F01">
        <w:rPr>
          <w:b w:val="0"/>
          <w:bCs w:val="0"/>
          <w:sz w:val="24"/>
          <w:szCs w:val="24"/>
          <w:lang w:eastAsia="en-US"/>
        </w:rPr>
        <w:t>ompreende os Magistrados, os Promotores e os Conselheiros dos Tribunais de Contas.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75 – Agente Político</w:t>
      </w:r>
    </w:p>
    <w:p w:rsidR="00F275C7" w:rsidRDefault="00CE5CE7" w:rsidP="00F275C7">
      <w:pPr>
        <w:pStyle w:val="Ttulo3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Compreende os exercentes de ativida</w:t>
      </w:r>
      <w:r w:rsidR="009A3001">
        <w:rPr>
          <w:b w:val="0"/>
          <w:bCs w:val="0"/>
          <w:sz w:val="24"/>
          <w:szCs w:val="24"/>
          <w:lang w:eastAsia="en-US"/>
        </w:rPr>
        <w:t>des típicas de governo</w:t>
      </w:r>
      <w:r w:rsidR="00984415">
        <w:rPr>
          <w:b w:val="0"/>
          <w:bCs w:val="0"/>
          <w:sz w:val="24"/>
          <w:szCs w:val="24"/>
          <w:lang w:eastAsia="en-US"/>
        </w:rPr>
        <w:t>.</w:t>
      </w:r>
      <w:r w:rsidR="009A3001">
        <w:rPr>
          <w:b w:val="0"/>
          <w:bCs w:val="0"/>
          <w:sz w:val="24"/>
          <w:szCs w:val="24"/>
          <w:lang w:eastAsia="en-US"/>
        </w:rPr>
        <w:t xml:space="preserve"> </w:t>
      </w:r>
      <w:r w:rsidR="00984415">
        <w:rPr>
          <w:b w:val="0"/>
          <w:bCs w:val="0"/>
          <w:sz w:val="24"/>
          <w:szCs w:val="24"/>
          <w:lang w:eastAsia="en-US"/>
        </w:rPr>
        <w:t>São, em regra, escolhidos por</w:t>
      </w:r>
      <w:r w:rsidR="00E65F01" w:rsidRPr="001A2230">
        <w:rPr>
          <w:b w:val="0"/>
          <w:bCs w:val="0"/>
          <w:sz w:val="24"/>
          <w:szCs w:val="24"/>
          <w:lang w:eastAsia="en-US"/>
        </w:rPr>
        <w:t xml:space="preserve"> elei</w:t>
      </w:r>
      <w:r w:rsidR="00984415">
        <w:rPr>
          <w:b w:val="0"/>
          <w:bCs w:val="0"/>
          <w:sz w:val="24"/>
          <w:szCs w:val="24"/>
          <w:lang w:eastAsia="en-US"/>
        </w:rPr>
        <w:t xml:space="preserve">ção, no caso dos </w:t>
      </w:r>
      <w:r w:rsidR="00E65F01" w:rsidRPr="001A2230">
        <w:rPr>
          <w:b w:val="0"/>
          <w:bCs w:val="0"/>
          <w:sz w:val="24"/>
          <w:szCs w:val="24"/>
          <w:lang w:eastAsia="en-US"/>
        </w:rPr>
        <w:t>Chefes dos Poderes Executivos federal, estadual e municipal, além de</w:t>
      </w:r>
      <w:r w:rsidR="00C36BC6">
        <w:rPr>
          <w:b w:val="0"/>
          <w:bCs w:val="0"/>
          <w:sz w:val="24"/>
          <w:szCs w:val="24"/>
          <w:lang w:eastAsia="en-US"/>
        </w:rPr>
        <w:t xml:space="preserve"> Sen</w:t>
      </w:r>
      <w:r w:rsidR="00F275C7">
        <w:rPr>
          <w:b w:val="0"/>
          <w:bCs w:val="0"/>
          <w:sz w:val="24"/>
          <w:szCs w:val="24"/>
          <w:lang w:eastAsia="en-US"/>
        </w:rPr>
        <w:t>adores, Deputados e Vereadores. Os M</w:t>
      </w:r>
      <w:r w:rsidR="00E65F01" w:rsidRPr="001A2230">
        <w:rPr>
          <w:b w:val="0"/>
          <w:bCs w:val="0"/>
          <w:sz w:val="24"/>
          <w:szCs w:val="24"/>
          <w:lang w:eastAsia="en-US"/>
        </w:rPr>
        <w:t xml:space="preserve">inistros </w:t>
      </w:r>
      <w:r w:rsidR="00F275C7">
        <w:rPr>
          <w:b w:val="0"/>
          <w:bCs w:val="0"/>
          <w:sz w:val="24"/>
          <w:szCs w:val="24"/>
          <w:lang w:eastAsia="en-US"/>
        </w:rPr>
        <w:t xml:space="preserve">de Estado </w:t>
      </w:r>
      <w:r w:rsidR="00E65F01" w:rsidRPr="001A2230">
        <w:rPr>
          <w:b w:val="0"/>
          <w:bCs w:val="0"/>
          <w:sz w:val="24"/>
          <w:szCs w:val="24"/>
          <w:lang w:eastAsia="en-US"/>
        </w:rPr>
        <w:t xml:space="preserve">e  Secretários </w:t>
      </w:r>
      <w:r w:rsidR="00F275C7">
        <w:rPr>
          <w:b w:val="0"/>
          <w:bCs w:val="0"/>
          <w:sz w:val="24"/>
          <w:szCs w:val="24"/>
          <w:lang w:eastAsia="en-US"/>
        </w:rPr>
        <w:t>Estaduais e Municipais também são agentes políticos, porém, são</w:t>
      </w:r>
      <w:r w:rsidR="00F275C7" w:rsidRPr="001A2230">
        <w:rPr>
          <w:b w:val="0"/>
          <w:bCs w:val="0"/>
          <w:sz w:val="24"/>
          <w:szCs w:val="24"/>
          <w:lang w:eastAsia="en-US"/>
        </w:rPr>
        <w:t xml:space="preserve"> de livre escolha do Chefe do Executivo e providos em cargos públicos, mediante nomeação</w:t>
      </w:r>
      <w:r w:rsidR="00F275C7">
        <w:rPr>
          <w:b w:val="0"/>
          <w:bCs w:val="0"/>
          <w:sz w:val="24"/>
          <w:szCs w:val="24"/>
          <w:lang w:eastAsia="en-US"/>
        </w:rPr>
        <w:t>.</w:t>
      </w:r>
      <w:r w:rsidR="00F275C7" w:rsidRPr="001A2230">
        <w:rPr>
          <w:b w:val="0"/>
          <w:bCs w:val="0"/>
          <w:sz w:val="24"/>
          <w:szCs w:val="24"/>
          <w:lang w:eastAsia="en-US"/>
        </w:rPr>
        <w:t xml:space="preserve"> 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76 – Função Gratificada</w:t>
      </w:r>
    </w:p>
    <w:p w:rsidR="00C2397A" w:rsidRDefault="00C2397A" w:rsidP="00C2397A">
      <w:pPr>
        <w:pStyle w:val="Ttulo3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C2397A">
        <w:rPr>
          <w:b w:val="0"/>
          <w:bCs w:val="0"/>
          <w:sz w:val="24"/>
          <w:szCs w:val="24"/>
          <w:lang w:eastAsia="en-US"/>
        </w:rPr>
        <w:t xml:space="preserve">Função Gratificada é vantagem acessória ao vencimento do </w:t>
      </w:r>
      <w:r w:rsidR="008F423A">
        <w:rPr>
          <w:b w:val="0"/>
          <w:bCs w:val="0"/>
          <w:sz w:val="24"/>
          <w:szCs w:val="24"/>
          <w:lang w:eastAsia="en-US"/>
        </w:rPr>
        <w:t>agente público titular de cargo efetivo</w:t>
      </w:r>
      <w:r w:rsidR="00984415">
        <w:rPr>
          <w:b w:val="0"/>
          <w:bCs w:val="0"/>
          <w:sz w:val="24"/>
          <w:szCs w:val="24"/>
          <w:lang w:eastAsia="en-US"/>
        </w:rPr>
        <w:t>. Consoante disposição constitucional (art. 37, inc. V) é exclusiva de ocupantes de cargo efetivo. N</w:t>
      </w:r>
      <w:r w:rsidRPr="00C2397A">
        <w:rPr>
          <w:b w:val="0"/>
          <w:bCs w:val="0"/>
          <w:sz w:val="24"/>
          <w:szCs w:val="24"/>
          <w:lang w:eastAsia="en-US"/>
        </w:rPr>
        <w:t>ão constitui emprego e é atribuída pelo exercício de encargos de chefia, assessoramento, secretariado e outras para cujo desempenho não se justifique a criação de cargo em comissão.</w:t>
      </w:r>
    </w:p>
    <w:p w:rsidR="00E65F01" w:rsidRDefault="00E65F01" w:rsidP="00E4237A">
      <w:pPr>
        <w:pStyle w:val="Ttulo3"/>
        <w:jc w:val="both"/>
        <w:rPr>
          <w:sz w:val="28"/>
          <w:szCs w:val="28"/>
        </w:rPr>
      </w:pPr>
      <w:r>
        <w:rPr>
          <w:sz w:val="28"/>
          <w:szCs w:val="28"/>
        </w:rPr>
        <w:t>Código 77 – Conselheiro Tutelar</w:t>
      </w:r>
    </w:p>
    <w:p w:rsidR="00E65F01" w:rsidRPr="00087BFE" w:rsidRDefault="00E65F01" w:rsidP="00087BFE">
      <w:pPr>
        <w:pStyle w:val="Ttulo3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087BFE">
        <w:rPr>
          <w:b w:val="0"/>
          <w:bCs w:val="0"/>
          <w:sz w:val="24"/>
          <w:szCs w:val="24"/>
          <w:lang w:eastAsia="en-US"/>
        </w:rPr>
        <w:t xml:space="preserve">É o membro do Conselho Tutelar, conforme preceitua o Estatuto da Criança e do Adolescente (Lei 8.069/1990 – Título V). </w:t>
      </w:r>
    </w:p>
    <w:p w:rsidR="00E65F01" w:rsidRPr="00087BFE" w:rsidRDefault="00E65F01" w:rsidP="00E4237A">
      <w:pPr>
        <w:pStyle w:val="Ttulo3"/>
        <w:jc w:val="both"/>
        <w:rPr>
          <w:sz w:val="28"/>
          <w:szCs w:val="28"/>
        </w:rPr>
      </w:pPr>
      <w:r w:rsidRPr="00087BFE">
        <w:rPr>
          <w:sz w:val="28"/>
          <w:szCs w:val="28"/>
        </w:rPr>
        <w:t>Código 78 – Cedido</w:t>
      </w:r>
      <w:r w:rsidR="00454938">
        <w:rPr>
          <w:sz w:val="28"/>
          <w:szCs w:val="28"/>
        </w:rPr>
        <w:t xml:space="preserve"> de outro órgão</w:t>
      </w:r>
    </w:p>
    <w:p w:rsidR="00E65F01" w:rsidRPr="00087BFE" w:rsidRDefault="00F275C7" w:rsidP="00F33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A Cessão é</w:t>
      </w:r>
      <w:r w:rsidR="00E65F01" w:rsidRPr="00087BFE">
        <w:rPr>
          <w:sz w:val="24"/>
          <w:szCs w:val="24"/>
        </w:rPr>
        <w:t xml:space="preserve"> o afastamento do servidor do seu </w:t>
      </w:r>
      <w:r>
        <w:rPr>
          <w:sz w:val="24"/>
          <w:szCs w:val="24"/>
        </w:rPr>
        <w:t>órgão</w:t>
      </w:r>
      <w:r w:rsidR="00E65F01" w:rsidRPr="00087BFE">
        <w:rPr>
          <w:sz w:val="24"/>
          <w:szCs w:val="24"/>
        </w:rPr>
        <w:t xml:space="preserve"> </w:t>
      </w:r>
      <w:r>
        <w:rPr>
          <w:sz w:val="24"/>
          <w:szCs w:val="24"/>
        </w:rPr>
        <w:t>originário</w:t>
      </w:r>
      <w:r w:rsidR="00E65F01" w:rsidRPr="00087BFE">
        <w:rPr>
          <w:sz w:val="24"/>
          <w:szCs w:val="24"/>
        </w:rPr>
        <w:t xml:space="preserve"> para exercício em unidade administrativa do m</w:t>
      </w:r>
      <w:r w:rsidR="00146FDF">
        <w:rPr>
          <w:sz w:val="24"/>
          <w:szCs w:val="24"/>
        </w:rPr>
        <w:t>esmo ou de outro Poder ou Órgão. Nesse item, enquadram-se os servidores presentes no cadastro funcional e que vieram DE outros órgãos.</w:t>
      </w:r>
    </w:p>
    <w:p w:rsidR="00E65F01" w:rsidRPr="00087BFE" w:rsidRDefault="00E65F01" w:rsidP="00E4237A">
      <w:pPr>
        <w:pStyle w:val="Ttulo3"/>
        <w:jc w:val="both"/>
        <w:rPr>
          <w:sz w:val="28"/>
          <w:szCs w:val="28"/>
        </w:rPr>
      </w:pPr>
      <w:r w:rsidRPr="00087BFE">
        <w:rPr>
          <w:sz w:val="28"/>
          <w:szCs w:val="28"/>
        </w:rPr>
        <w:t>Código 79 – Emprego Público</w:t>
      </w:r>
    </w:p>
    <w:p w:rsidR="00E65F01" w:rsidRDefault="00E65F01" w:rsidP="00E4237A">
      <w:pPr>
        <w:pStyle w:val="Ttulo3"/>
        <w:ind w:firstLine="720"/>
        <w:jc w:val="both"/>
        <w:rPr>
          <w:b w:val="0"/>
          <w:bCs w:val="0"/>
          <w:sz w:val="24"/>
          <w:szCs w:val="24"/>
          <w:lang w:eastAsia="en-US"/>
        </w:rPr>
      </w:pPr>
      <w:r w:rsidRPr="00087BFE">
        <w:rPr>
          <w:b w:val="0"/>
          <w:bCs w:val="0"/>
          <w:sz w:val="24"/>
          <w:szCs w:val="24"/>
          <w:lang w:eastAsia="en-US"/>
        </w:rPr>
        <w:t>É uma unidade de atribuições e caracteriza-se pelo vínculo com a Administração Pública ser regido pela CLT (Consolidação das Leis do Trabalho – Decreto-lei nº 5.452/1943).</w:t>
      </w:r>
    </w:p>
    <w:p w:rsidR="00454938" w:rsidRPr="00087BFE" w:rsidRDefault="00454938" w:rsidP="00454938">
      <w:pPr>
        <w:pStyle w:val="Ttulo3"/>
        <w:jc w:val="both"/>
        <w:rPr>
          <w:sz w:val="28"/>
          <w:szCs w:val="28"/>
        </w:rPr>
      </w:pPr>
      <w:r w:rsidRPr="00087BFE">
        <w:rPr>
          <w:sz w:val="28"/>
          <w:szCs w:val="28"/>
        </w:rPr>
        <w:t xml:space="preserve">Código </w:t>
      </w:r>
      <w:r>
        <w:rPr>
          <w:sz w:val="28"/>
          <w:szCs w:val="28"/>
        </w:rPr>
        <w:t>80</w:t>
      </w:r>
      <w:r w:rsidRPr="00087BFE">
        <w:rPr>
          <w:sz w:val="28"/>
          <w:szCs w:val="28"/>
        </w:rPr>
        <w:t xml:space="preserve"> – Cedido</w:t>
      </w:r>
      <w:r>
        <w:rPr>
          <w:sz w:val="28"/>
          <w:szCs w:val="28"/>
        </w:rPr>
        <w:t xml:space="preserve"> para outro órgão</w:t>
      </w:r>
    </w:p>
    <w:p w:rsidR="00146FDF" w:rsidRPr="00087BFE" w:rsidRDefault="00146FDF" w:rsidP="00146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A Cessão é</w:t>
      </w:r>
      <w:r w:rsidRPr="00087BFE">
        <w:rPr>
          <w:sz w:val="24"/>
          <w:szCs w:val="24"/>
        </w:rPr>
        <w:t xml:space="preserve"> o afastamento do servidor do seu </w:t>
      </w:r>
      <w:r>
        <w:rPr>
          <w:sz w:val="24"/>
          <w:szCs w:val="24"/>
        </w:rPr>
        <w:t>órgão</w:t>
      </w:r>
      <w:r w:rsidRPr="00087BFE">
        <w:rPr>
          <w:sz w:val="24"/>
          <w:szCs w:val="24"/>
        </w:rPr>
        <w:t xml:space="preserve"> </w:t>
      </w:r>
      <w:r>
        <w:rPr>
          <w:sz w:val="24"/>
          <w:szCs w:val="24"/>
        </w:rPr>
        <w:t>originário</w:t>
      </w:r>
      <w:r w:rsidRPr="00087BFE">
        <w:rPr>
          <w:sz w:val="24"/>
          <w:szCs w:val="24"/>
        </w:rPr>
        <w:t xml:space="preserve"> para exercício em unidade administrativa do m</w:t>
      </w:r>
      <w:r>
        <w:rPr>
          <w:sz w:val="24"/>
          <w:szCs w:val="24"/>
        </w:rPr>
        <w:t>esmo ou de outro Poder ou Órgão. Nesse item, enquadram-se os servidores presentes no cadastro funcional e que foram cedidos PARA outros órgãos.</w:t>
      </w:r>
    </w:p>
    <w:sectPr w:rsidR="00146FDF" w:rsidRPr="00087BFE" w:rsidSect="002D4FF9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D6" w:rsidRDefault="000767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767D6" w:rsidRDefault="000767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D6" w:rsidRDefault="000767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767D6" w:rsidRDefault="000767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7A" w:rsidRDefault="00B34948" w:rsidP="006E4C08">
    <w:pPr>
      <w:pStyle w:val="Cabealho"/>
      <w:spacing w:after="0" w:line="240" w:lineRule="auto"/>
      <w:rPr>
        <w:rFonts w:cs="Times New Roman"/>
      </w:rPr>
    </w:pPr>
    <w:r w:rsidRPr="00B3494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.25pt;margin-top:28.95pt;width:153pt;height:18pt;z-index:251660288" filled="f" stroked="f">
          <v:textbox>
            <w:txbxContent>
              <w:p w:rsidR="00C2397A" w:rsidRPr="006E4C08" w:rsidRDefault="00C2397A" w:rsidP="006E4C08">
                <w:pPr>
                  <w:rPr>
                    <w:rFonts w:cs="Times New Roman"/>
                    <w:color w:val="C0C0C0"/>
                    <w:sz w:val="20"/>
                    <w:szCs w:val="20"/>
                  </w:rPr>
                </w:pPr>
                <w:r w:rsidRPr="006E4C08">
                  <w:rPr>
                    <w:rFonts w:ascii="Arial" w:hAnsi="Arial" w:cs="Arial"/>
                    <w:b/>
                    <w:bCs/>
                    <w:color w:val="C0C0C0"/>
                    <w:sz w:val="20"/>
                    <w:szCs w:val="20"/>
                  </w:rPr>
                  <w:t>Diretoria de Informática</w:t>
                </w:r>
              </w:p>
            </w:txbxContent>
          </v:textbox>
        </v:shape>
      </w:pict>
    </w:r>
    <w:r w:rsidRPr="00B34948">
      <w:rPr>
        <w:rFonts w:cs="Times New Roman"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_sup" style="width:453.75pt;height:36.3pt;visibility:visible">
          <v:imagedata r:id="rId1" o:title=""/>
        </v:shape>
      </w:pict>
    </w:r>
  </w:p>
  <w:p w:rsidR="00C2397A" w:rsidRPr="006E4C08" w:rsidRDefault="00C2397A" w:rsidP="006E4C08">
    <w:pPr>
      <w:pStyle w:val="Cabealho"/>
      <w:tabs>
        <w:tab w:val="clear" w:pos="4419"/>
        <w:tab w:val="clear" w:pos="8838"/>
        <w:tab w:val="center" w:pos="720"/>
      </w:tabs>
      <w:spacing w:after="0" w:line="240" w:lineRule="auto"/>
      <w:rPr>
        <w:rFonts w:ascii="Arial" w:hAnsi="Arial" w:cs="Arial"/>
        <w:b/>
        <w:bCs/>
        <w:color w:val="999999"/>
      </w:rPr>
    </w:pPr>
    <w:r>
      <w:rPr>
        <w:rFonts w:ascii="Arial" w:hAnsi="Arial" w:cs="Arial"/>
        <w:b/>
        <w:bCs/>
        <w:color w:val="99999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B2A"/>
    <w:multiLevelType w:val="hybridMultilevel"/>
    <w:tmpl w:val="DFB22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8B7"/>
    <w:multiLevelType w:val="hybridMultilevel"/>
    <w:tmpl w:val="C4209544"/>
    <w:lvl w:ilvl="0" w:tplc="C4686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758CB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4AEC1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006E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1F4B4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6EF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E1EBC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6BC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0B0C4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38640B1B"/>
    <w:multiLevelType w:val="hybridMultilevel"/>
    <w:tmpl w:val="413AB762"/>
    <w:lvl w:ilvl="0" w:tplc="DDCEAE1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B2D05"/>
    <w:multiLevelType w:val="hybridMultilevel"/>
    <w:tmpl w:val="E7D0B6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BB5B33"/>
    <w:multiLevelType w:val="multilevel"/>
    <w:tmpl w:val="E18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4531577"/>
    <w:multiLevelType w:val="hybridMultilevel"/>
    <w:tmpl w:val="413AB762"/>
    <w:lvl w:ilvl="0" w:tplc="DDCEAE1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B6463"/>
    <w:multiLevelType w:val="hybridMultilevel"/>
    <w:tmpl w:val="DE305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FD56C3"/>
    <w:multiLevelType w:val="hybridMultilevel"/>
    <w:tmpl w:val="6C7EB2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8052A2"/>
    <w:multiLevelType w:val="hybridMultilevel"/>
    <w:tmpl w:val="BDAC11AA"/>
    <w:lvl w:ilvl="0" w:tplc="EA8E0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8CA9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6F47A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E8AD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21E82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D04AF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D7EB3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9A66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1C2DC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791918A9"/>
    <w:multiLevelType w:val="hybridMultilevel"/>
    <w:tmpl w:val="915C0F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BB5171"/>
    <w:multiLevelType w:val="multilevel"/>
    <w:tmpl w:val="B630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55217"/>
    <w:multiLevelType w:val="hybridMultilevel"/>
    <w:tmpl w:val="E49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1CB"/>
    <w:rsid w:val="00005AE4"/>
    <w:rsid w:val="000101B0"/>
    <w:rsid w:val="000162EC"/>
    <w:rsid w:val="00034913"/>
    <w:rsid w:val="00044464"/>
    <w:rsid w:val="000503C4"/>
    <w:rsid w:val="00056FB5"/>
    <w:rsid w:val="000652EF"/>
    <w:rsid w:val="000672CA"/>
    <w:rsid w:val="00073525"/>
    <w:rsid w:val="000767D6"/>
    <w:rsid w:val="00076A85"/>
    <w:rsid w:val="00081996"/>
    <w:rsid w:val="000836BB"/>
    <w:rsid w:val="000849BC"/>
    <w:rsid w:val="00087BFE"/>
    <w:rsid w:val="000B1186"/>
    <w:rsid w:val="000B4F75"/>
    <w:rsid w:val="000B7855"/>
    <w:rsid w:val="000C45FD"/>
    <w:rsid w:val="000D2373"/>
    <w:rsid w:val="000D446E"/>
    <w:rsid w:val="000D6D29"/>
    <w:rsid w:val="000E780B"/>
    <w:rsid w:val="000F165C"/>
    <w:rsid w:val="001022E5"/>
    <w:rsid w:val="00115809"/>
    <w:rsid w:val="001312C6"/>
    <w:rsid w:val="001337F3"/>
    <w:rsid w:val="00134236"/>
    <w:rsid w:val="00135462"/>
    <w:rsid w:val="00141003"/>
    <w:rsid w:val="00146FDF"/>
    <w:rsid w:val="00151361"/>
    <w:rsid w:val="0015382B"/>
    <w:rsid w:val="0017052E"/>
    <w:rsid w:val="001844B0"/>
    <w:rsid w:val="0019280D"/>
    <w:rsid w:val="00196486"/>
    <w:rsid w:val="00197EBD"/>
    <w:rsid w:val="001A2230"/>
    <w:rsid w:val="001C0D57"/>
    <w:rsid w:val="001C2A65"/>
    <w:rsid w:val="001C551B"/>
    <w:rsid w:val="001D0112"/>
    <w:rsid w:val="001D20E4"/>
    <w:rsid w:val="001D5AB1"/>
    <w:rsid w:val="001E3E22"/>
    <w:rsid w:val="001F1AB5"/>
    <w:rsid w:val="001F5D0C"/>
    <w:rsid w:val="00202528"/>
    <w:rsid w:val="00205B53"/>
    <w:rsid w:val="0020744D"/>
    <w:rsid w:val="002202E4"/>
    <w:rsid w:val="002213E0"/>
    <w:rsid w:val="00222287"/>
    <w:rsid w:val="00222514"/>
    <w:rsid w:val="0022780B"/>
    <w:rsid w:val="00231B8C"/>
    <w:rsid w:val="00234925"/>
    <w:rsid w:val="002539F0"/>
    <w:rsid w:val="0025763C"/>
    <w:rsid w:val="00262CF2"/>
    <w:rsid w:val="002639C6"/>
    <w:rsid w:val="00270FB9"/>
    <w:rsid w:val="002800F8"/>
    <w:rsid w:val="00287066"/>
    <w:rsid w:val="0029129B"/>
    <w:rsid w:val="00291E6E"/>
    <w:rsid w:val="002A2684"/>
    <w:rsid w:val="002A280A"/>
    <w:rsid w:val="002A58DC"/>
    <w:rsid w:val="002A6292"/>
    <w:rsid w:val="002A711E"/>
    <w:rsid w:val="002B1160"/>
    <w:rsid w:val="002B5872"/>
    <w:rsid w:val="002D4FF9"/>
    <w:rsid w:val="002D7808"/>
    <w:rsid w:val="002E072C"/>
    <w:rsid w:val="002E0B26"/>
    <w:rsid w:val="002F0488"/>
    <w:rsid w:val="002F07B0"/>
    <w:rsid w:val="002F3470"/>
    <w:rsid w:val="002F7BAB"/>
    <w:rsid w:val="00303FD0"/>
    <w:rsid w:val="0031174B"/>
    <w:rsid w:val="00313CCB"/>
    <w:rsid w:val="00317343"/>
    <w:rsid w:val="00317441"/>
    <w:rsid w:val="00324439"/>
    <w:rsid w:val="00334823"/>
    <w:rsid w:val="00352858"/>
    <w:rsid w:val="00364CB6"/>
    <w:rsid w:val="0037618A"/>
    <w:rsid w:val="00377C43"/>
    <w:rsid w:val="003861CB"/>
    <w:rsid w:val="003911AD"/>
    <w:rsid w:val="00391DDA"/>
    <w:rsid w:val="003A0FA1"/>
    <w:rsid w:val="003A7DF2"/>
    <w:rsid w:val="003B766F"/>
    <w:rsid w:val="003C171B"/>
    <w:rsid w:val="003C1E96"/>
    <w:rsid w:val="003C33AD"/>
    <w:rsid w:val="003C53A4"/>
    <w:rsid w:val="003D11D1"/>
    <w:rsid w:val="003D1B3D"/>
    <w:rsid w:val="003D5828"/>
    <w:rsid w:val="003D64E9"/>
    <w:rsid w:val="003E4829"/>
    <w:rsid w:val="003F5053"/>
    <w:rsid w:val="003F664D"/>
    <w:rsid w:val="00411471"/>
    <w:rsid w:val="004163A7"/>
    <w:rsid w:val="00422AA8"/>
    <w:rsid w:val="00423C0D"/>
    <w:rsid w:val="0043139B"/>
    <w:rsid w:val="00433E16"/>
    <w:rsid w:val="0043752E"/>
    <w:rsid w:val="00444E9A"/>
    <w:rsid w:val="00447596"/>
    <w:rsid w:val="004478B9"/>
    <w:rsid w:val="004479CD"/>
    <w:rsid w:val="00452513"/>
    <w:rsid w:val="00453935"/>
    <w:rsid w:val="00454938"/>
    <w:rsid w:val="00454BAD"/>
    <w:rsid w:val="004605B6"/>
    <w:rsid w:val="00461789"/>
    <w:rsid w:val="00462C9D"/>
    <w:rsid w:val="00464D7D"/>
    <w:rsid w:val="00471B7B"/>
    <w:rsid w:val="00480011"/>
    <w:rsid w:val="00485ADC"/>
    <w:rsid w:val="00485BE0"/>
    <w:rsid w:val="004A1101"/>
    <w:rsid w:val="004A5166"/>
    <w:rsid w:val="004B0733"/>
    <w:rsid w:val="004B0AAA"/>
    <w:rsid w:val="004B6A70"/>
    <w:rsid w:val="004D09AD"/>
    <w:rsid w:val="004D1FC7"/>
    <w:rsid w:val="004D3F21"/>
    <w:rsid w:val="004E0C63"/>
    <w:rsid w:val="004E1627"/>
    <w:rsid w:val="004F141E"/>
    <w:rsid w:val="004F197E"/>
    <w:rsid w:val="004F19F9"/>
    <w:rsid w:val="005047DB"/>
    <w:rsid w:val="00506985"/>
    <w:rsid w:val="0051370B"/>
    <w:rsid w:val="00523BD8"/>
    <w:rsid w:val="00532A04"/>
    <w:rsid w:val="00535D7A"/>
    <w:rsid w:val="005424DE"/>
    <w:rsid w:val="00543A3D"/>
    <w:rsid w:val="00553EA1"/>
    <w:rsid w:val="00555C58"/>
    <w:rsid w:val="00557252"/>
    <w:rsid w:val="0055729F"/>
    <w:rsid w:val="00557542"/>
    <w:rsid w:val="0057221E"/>
    <w:rsid w:val="0057513B"/>
    <w:rsid w:val="00575B88"/>
    <w:rsid w:val="00583D4B"/>
    <w:rsid w:val="005931F6"/>
    <w:rsid w:val="00595D25"/>
    <w:rsid w:val="005A448A"/>
    <w:rsid w:val="005A6A1A"/>
    <w:rsid w:val="005A7A20"/>
    <w:rsid w:val="005B7C10"/>
    <w:rsid w:val="005C2859"/>
    <w:rsid w:val="005D2416"/>
    <w:rsid w:val="005D44CD"/>
    <w:rsid w:val="005E7C06"/>
    <w:rsid w:val="005F26C1"/>
    <w:rsid w:val="006018BB"/>
    <w:rsid w:val="00612A66"/>
    <w:rsid w:val="00613A37"/>
    <w:rsid w:val="006216AA"/>
    <w:rsid w:val="00623611"/>
    <w:rsid w:val="00642A87"/>
    <w:rsid w:val="0064352C"/>
    <w:rsid w:val="0064756B"/>
    <w:rsid w:val="00663493"/>
    <w:rsid w:val="00665EDA"/>
    <w:rsid w:val="006670F0"/>
    <w:rsid w:val="0067094D"/>
    <w:rsid w:val="00670F5F"/>
    <w:rsid w:val="006814BA"/>
    <w:rsid w:val="00684B71"/>
    <w:rsid w:val="006859E6"/>
    <w:rsid w:val="006929FD"/>
    <w:rsid w:val="006A16F2"/>
    <w:rsid w:val="006A4205"/>
    <w:rsid w:val="006A75F7"/>
    <w:rsid w:val="006B3F59"/>
    <w:rsid w:val="006B5728"/>
    <w:rsid w:val="006C3DA0"/>
    <w:rsid w:val="006D0695"/>
    <w:rsid w:val="006D52D0"/>
    <w:rsid w:val="006E19AD"/>
    <w:rsid w:val="006E23D9"/>
    <w:rsid w:val="006E3CC1"/>
    <w:rsid w:val="006E44EB"/>
    <w:rsid w:val="006E4C08"/>
    <w:rsid w:val="00711AC9"/>
    <w:rsid w:val="007125E7"/>
    <w:rsid w:val="00713B3B"/>
    <w:rsid w:val="00714C70"/>
    <w:rsid w:val="00732CA8"/>
    <w:rsid w:val="00732F76"/>
    <w:rsid w:val="00735835"/>
    <w:rsid w:val="00742615"/>
    <w:rsid w:val="00745414"/>
    <w:rsid w:val="00757FBC"/>
    <w:rsid w:val="00763831"/>
    <w:rsid w:val="007652B8"/>
    <w:rsid w:val="007704E3"/>
    <w:rsid w:val="00771389"/>
    <w:rsid w:val="00785F6E"/>
    <w:rsid w:val="007944EA"/>
    <w:rsid w:val="007A4E11"/>
    <w:rsid w:val="007B5D54"/>
    <w:rsid w:val="007B6DDB"/>
    <w:rsid w:val="007C1A9B"/>
    <w:rsid w:val="007C2704"/>
    <w:rsid w:val="007C368D"/>
    <w:rsid w:val="007C521F"/>
    <w:rsid w:val="007D2D42"/>
    <w:rsid w:val="007D3B39"/>
    <w:rsid w:val="007F0288"/>
    <w:rsid w:val="007F3664"/>
    <w:rsid w:val="007F5A0B"/>
    <w:rsid w:val="00807424"/>
    <w:rsid w:val="0081244B"/>
    <w:rsid w:val="00816FCB"/>
    <w:rsid w:val="00817444"/>
    <w:rsid w:val="00823711"/>
    <w:rsid w:val="00830D5E"/>
    <w:rsid w:val="00833672"/>
    <w:rsid w:val="00836764"/>
    <w:rsid w:val="00837440"/>
    <w:rsid w:val="00847C93"/>
    <w:rsid w:val="00847E22"/>
    <w:rsid w:val="00851B3E"/>
    <w:rsid w:val="00857C9A"/>
    <w:rsid w:val="00860D46"/>
    <w:rsid w:val="008615D0"/>
    <w:rsid w:val="00862F46"/>
    <w:rsid w:val="00865E28"/>
    <w:rsid w:val="008707BC"/>
    <w:rsid w:val="0089555B"/>
    <w:rsid w:val="008A03AF"/>
    <w:rsid w:val="008A5D93"/>
    <w:rsid w:val="008A642B"/>
    <w:rsid w:val="008B2975"/>
    <w:rsid w:val="008B4710"/>
    <w:rsid w:val="008B5767"/>
    <w:rsid w:val="008C4CC9"/>
    <w:rsid w:val="008D5DD5"/>
    <w:rsid w:val="008E2D2D"/>
    <w:rsid w:val="008E7036"/>
    <w:rsid w:val="008F06A3"/>
    <w:rsid w:val="008F07CD"/>
    <w:rsid w:val="008F423A"/>
    <w:rsid w:val="008F443B"/>
    <w:rsid w:val="008F6ABC"/>
    <w:rsid w:val="00911A91"/>
    <w:rsid w:val="00914AEE"/>
    <w:rsid w:val="00916FF9"/>
    <w:rsid w:val="00932A0C"/>
    <w:rsid w:val="0093589F"/>
    <w:rsid w:val="00944FCC"/>
    <w:rsid w:val="00954C9A"/>
    <w:rsid w:val="00961889"/>
    <w:rsid w:val="00971C65"/>
    <w:rsid w:val="00972830"/>
    <w:rsid w:val="00982FBE"/>
    <w:rsid w:val="00984415"/>
    <w:rsid w:val="00985645"/>
    <w:rsid w:val="009908DC"/>
    <w:rsid w:val="00994BE0"/>
    <w:rsid w:val="00997468"/>
    <w:rsid w:val="009A01D2"/>
    <w:rsid w:val="009A2760"/>
    <w:rsid w:val="009A3001"/>
    <w:rsid w:val="009B5341"/>
    <w:rsid w:val="009C26A6"/>
    <w:rsid w:val="009C6396"/>
    <w:rsid w:val="009D2554"/>
    <w:rsid w:val="009E63E9"/>
    <w:rsid w:val="009E66FB"/>
    <w:rsid w:val="009F7126"/>
    <w:rsid w:val="00A0102E"/>
    <w:rsid w:val="00A07847"/>
    <w:rsid w:val="00A20B92"/>
    <w:rsid w:val="00A2723B"/>
    <w:rsid w:val="00A305BD"/>
    <w:rsid w:val="00A30803"/>
    <w:rsid w:val="00A452BE"/>
    <w:rsid w:val="00A6191C"/>
    <w:rsid w:val="00A67A3A"/>
    <w:rsid w:val="00A71CFE"/>
    <w:rsid w:val="00A81215"/>
    <w:rsid w:val="00A830EC"/>
    <w:rsid w:val="00A85B27"/>
    <w:rsid w:val="00A90BBC"/>
    <w:rsid w:val="00A96701"/>
    <w:rsid w:val="00AA4C37"/>
    <w:rsid w:val="00AB763D"/>
    <w:rsid w:val="00AC07A4"/>
    <w:rsid w:val="00AC38E1"/>
    <w:rsid w:val="00AD290C"/>
    <w:rsid w:val="00AD41BB"/>
    <w:rsid w:val="00AE61EE"/>
    <w:rsid w:val="00AF179F"/>
    <w:rsid w:val="00AF4F11"/>
    <w:rsid w:val="00B015A9"/>
    <w:rsid w:val="00B05602"/>
    <w:rsid w:val="00B059A0"/>
    <w:rsid w:val="00B15DE9"/>
    <w:rsid w:val="00B26C8E"/>
    <w:rsid w:val="00B33F24"/>
    <w:rsid w:val="00B34948"/>
    <w:rsid w:val="00B40AD4"/>
    <w:rsid w:val="00B6055B"/>
    <w:rsid w:val="00B76570"/>
    <w:rsid w:val="00B77FC1"/>
    <w:rsid w:val="00B84B8F"/>
    <w:rsid w:val="00B87D20"/>
    <w:rsid w:val="00B96933"/>
    <w:rsid w:val="00B96983"/>
    <w:rsid w:val="00BA230E"/>
    <w:rsid w:val="00BA361D"/>
    <w:rsid w:val="00BA718F"/>
    <w:rsid w:val="00BB2EA4"/>
    <w:rsid w:val="00BC4751"/>
    <w:rsid w:val="00BE3D2C"/>
    <w:rsid w:val="00C02392"/>
    <w:rsid w:val="00C106C3"/>
    <w:rsid w:val="00C20A16"/>
    <w:rsid w:val="00C2397A"/>
    <w:rsid w:val="00C30ABE"/>
    <w:rsid w:val="00C354B5"/>
    <w:rsid w:val="00C35704"/>
    <w:rsid w:val="00C36BC6"/>
    <w:rsid w:val="00C509CF"/>
    <w:rsid w:val="00C82761"/>
    <w:rsid w:val="00C82B71"/>
    <w:rsid w:val="00C8543E"/>
    <w:rsid w:val="00C87BEA"/>
    <w:rsid w:val="00C9463F"/>
    <w:rsid w:val="00C94B3C"/>
    <w:rsid w:val="00C960BD"/>
    <w:rsid w:val="00C96AB1"/>
    <w:rsid w:val="00CC1774"/>
    <w:rsid w:val="00CC2EC8"/>
    <w:rsid w:val="00CD32AD"/>
    <w:rsid w:val="00CE11B7"/>
    <w:rsid w:val="00CE4FBE"/>
    <w:rsid w:val="00CE5CE7"/>
    <w:rsid w:val="00CF5015"/>
    <w:rsid w:val="00D0135B"/>
    <w:rsid w:val="00D05182"/>
    <w:rsid w:val="00D0714E"/>
    <w:rsid w:val="00D1241C"/>
    <w:rsid w:val="00D12FB5"/>
    <w:rsid w:val="00D172C8"/>
    <w:rsid w:val="00D21555"/>
    <w:rsid w:val="00D2634E"/>
    <w:rsid w:val="00D6368D"/>
    <w:rsid w:val="00D747F5"/>
    <w:rsid w:val="00D92301"/>
    <w:rsid w:val="00D93E47"/>
    <w:rsid w:val="00D93EF1"/>
    <w:rsid w:val="00D9431F"/>
    <w:rsid w:val="00DA4021"/>
    <w:rsid w:val="00DC0679"/>
    <w:rsid w:val="00DC4332"/>
    <w:rsid w:val="00DC6369"/>
    <w:rsid w:val="00DD27CC"/>
    <w:rsid w:val="00DE3017"/>
    <w:rsid w:val="00DE306E"/>
    <w:rsid w:val="00DE5B29"/>
    <w:rsid w:val="00DE64E1"/>
    <w:rsid w:val="00DF3D97"/>
    <w:rsid w:val="00DF5539"/>
    <w:rsid w:val="00E0600A"/>
    <w:rsid w:val="00E06218"/>
    <w:rsid w:val="00E1371E"/>
    <w:rsid w:val="00E15583"/>
    <w:rsid w:val="00E30815"/>
    <w:rsid w:val="00E40075"/>
    <w:rsid w:val="00E4237A"/>
    <w:rsid w:val="00E50F86"/>
    <w:rsid w:val="00E5145F"/>
    <w:rsid w:val="00E535F7"/>
    <w:rsid w:val="00E54842"/>
    <w:rsid w:val="00E6341A"/>
    <w:rsid w:val="00E65F01"/>
    <w:rsid w:val="00E8448C"/>
    <w:rsid w:val="00E85240"/>
    <w:rsid w:val="00E93C4C"/>
    <w:rsid w:val="00E95AA6"/>
    <w:rsid w:val="00E96587"/>
    <w:rsid w:val="00EA0FC2"/>
    <w:rsid w:val="00EA446C"/>
    <w:rsid w:val="00EA5DA9"/>
    <w:rsid w:val="00EB4778"/>
    <w:rsid w:val="00EB5279"/>
    <w:rsid w:val="00EC412B"/>
    <w:rsid w:val="00EC55BB"/>
    <w:rsid w:val="00EC6B6A"/>
    <w:rsid w:val="00EC7CD9"/>
    <w:rsid w:val="00ED1AE0"/>
    <w:rsid w:val="00EE49B3"/>
    <w:rsid w:val="00EE6359"/>
    <w:rsid w:val="00EF209E"/>
    <w:rsid w:val="00EF561D"/>
    <w:rsid w:val="00EF6BAC"/>
    <w:rsid w:val="00F070FF"/>
    <w:rsid w:val="00F14867"/>
    <w:rsid w:val="00F154A5"/>
    <w:rsid w:val="00F2306B"/>
    <w:rsid w:val="00F275C7"/>
    <w:rsid w:val="00F27A8F"/>
    <w:rsid w:val="00F33E3D"/>
    <w:rsid w:val="00F4380B"/>
    <w:rsid w:val="00F439F5"/>
    <w:rsid w:val="00F46829"/>
    <w:rsid w:val="00F56CB3"/>
    <w:rsid w:val="00F611B0"/>
    <w:rsid w:val="00F630B3"/>
    <w:rsid w:val="00F70280"/>
    <w:rsid w:val="00F81BF4"/>
    <w:rsid w:val="00F84FE1"/>
    <w:rsid w:val="00F87604"/>
    <w:rsid w:val="00F95D6C"/>
    <w:rsid w:val="00FA7965"/>
    <w:rsid w:val="00FC2C0A"/>
    <w:rsid w:val="00FE0572"/>
    <w:rsid w:val="00FE5ED0"/>
    <w:rsid w:val="00FF55C1"/>
    <w:rsid w:val="00FF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CD32AD"/>
    <w:pPr>
      <w:spacing w:after="200" w:line="276" w:lineRule="auto"/>
    </w:pPr>
    <w:rPr>
      <w:rFonts w:eastAsia="Times New Roman"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6188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96188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9"/>
    <w:qFormat/>
    <w:rsid w:val="00E535F7"/>
    <w:pPr>
      <w:spacing w:before="100" w:beforeAutospacing="1" w:after="100" w:afterAutospacing="1" w:line="240" w:lineRule="auto"/>
      <w:outlineLvl w:val="2"/>
    </w:pPr>
    <w:rPr>
      <w:rFonts w:eastAsia="Calibri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61889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rsid w:val="0096188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rsid w:val="00E535F7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customStyle="1" w:styleId="style6">
    <w:name w:val="style6"/>
    <w:basedOn w:val="Normal"/>
    <w:uiPriority w:val="99"/>
    <w:rsid w:val="00E535F7"/>
    <w:pPr>
      <w:spacing w:before="100" w:beforeAutospacing="1" w:after="100" w:afterAutospacing="1" w:line="240" w:lineRule="auto"/>
    </w:pPr>
    <w:rPr>
      <w:rFonts w:ascii="Verdana" w:eastAsia="Calibri" w:hAnsi="Verdana" w:cs="Verdana"/>
      <w:sz w:val="10"/>
      <w:szCs w:val="10"/>
      <w:lang w:eastAsia="pt-BR"/>
    </w:rPr>
  </w:style>
  <w:style w:type="paragraph" w:styleId="NormalWeb">
    <w:name w:val="Normal (Web)"/>
    <w:basedOn w:val="Normal"/>
    <w:uiPriority w:val="99"/>
    <w:rsid w:val="00E535F7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E535F7"/>
    <w:rPr>
      <w:b/>
      <w:bCs/>
    </w:rPr>
  </w:style>
  <w:style w:type="character" w:customStyle="1" w:styleId="style61">
    <w:name w:val="style61"/>
    <w:basedOn w:val="Fontepargpadro"/>
    <w:uiPriority w:val="99"/>
    <w:rsid w:val="00E535F7"/>
    <w:rPr>
      <w:rFonts w:ascii="Verdana" w:hAnsi="Verdana" w:cs="Verdana"/>
      <w:sz w:val="10"/>
      <w:szCs w:val="10"/>
    </w:rPr>
  </w:style>
  <w:style w:type="paragraph" w:styleId="Cabealho">
    <w:name w:val="header"/>
    <w:basedOn w:val="Normal"/>
    <w:link w:val="CabealhoChar"/>
    <w:uiPriority w:val="99"/>
    <w:rsid w:val="006E4C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055B"/>
    <w:rPr>
      <w:rFonts w:eastAsia="Times New Roman"/>
      <w:lang w:eastAsia="en-US"/>
    </w:rPr>
  </w:style>
  <w:style w:type="paragraph" w:styleId="Rodap">
    <w:name w:val="footer"/>
    <w:basedOn w:val="Normal"/>
    <w:link w:val="RodapChar"/>
    <w:uiPriority w:val="99"/>
    <w:rsid w:val="006E4C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055B"/>
    <w:rPr>
      <w:rFonts w:eastAsia="Times New Roman"/>
      <w:lang w:eastAsia="en-US"/>
    </w:rPr>
  </w:style>
  <w:style w:type="table" w:styleId="Tabelacomgrade">
    <w:name w:val="Table Grid"/>
    <w:basedOn w:val="Tabelanormal"/>
    <w:uiPriority w:val="99"/>
    <w:rsid w:val="001C2A65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AB76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3E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82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6E23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cuodecorpodetexto2">
    <w:name w:val="Body Text Indent 2"/>
    <w:basedOn w:val="Default"/>
    <w:next w:val="Default"/>
    <w:link w:val="Recuodecorpodetexto2Char"/>
    <w:uiPriority w:val="99"/>
    <w:rsid w:val="006E23D9"/>
    <w:rPr>
      <w:color w:val="auto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E23D9"/>
    <w:rPr>
      <w:rFonts w:ascii="Times New Roman" w:hAnsi="Times New Roman" w:cs="Times New Roman"/>
      <w:sz w:val="24"/>
      <w:szCs w:val="24"/>
    </w:rPr>
  </w:style>
  <w:style w:type="paragraph" w:customStyle="1" w:styleId="Estilo">
    <w:name w:val="Estilo"/>
    <w:basedOn w:val="Default"/>
    <w:next w:val="Default"/>
    <w:uiPriority w:val="99"/>
    <w:rsid w:val="006E23D9"/>
    <w:rPr>
      <w:color w:val="auto"/>
    </w:rPr>
  </w:style>
  <w:style w:type="paragraph" w:styleId="Recuodecorpodetexto">
    <w:name w:val="Body Text Indent"/>
    <w:basedOn w:val="Default"/>
    <w:next w:val="Default"/>
    <w:link w:val="RecuodecorpodetextoChar"/>
    <w:uiPriority w:val="99"/>
    <w:rsid w:val="006E23D9"/>
    <w:rPr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23D9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rsid w:val="00A830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830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0EC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830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0EC"/>
    <w:rPr>
      <w:rFonts w:eastAsia="Times New Roman"/>
      <w:b/>
      <w:bCs/>
      <w:lang w:eastAsia="en-US"/>
    </w:rPr>
  </w:style>
  <w:style w:type="character" w:styleId="nfase">
    <w:name w:val="Emphasis"/>
    <w:basedOn w:val="Fontepargpadro"/>
    <w:uiPriority w:val="99"/>
    <w:qFormat/>
    <w:rsid w:val="00847E22"/>
    <w:rPr>
      <w:b/>
      <w:bCs/>
    </w:rPr>
  </w:style>
  <w:style w:type="character" w:customStyle="1" w:styleId="st1">
    <w:name w:val="st1"/>
    <w:basedOn w:val="Fontepargpadro"/>
    <w:uiPriority w:val="99"/>
    <w:rsid w:val="00847E22"/>
  </w:style>
  <w:style w:type="paragraph" w:styleId="CabealhodoSumrio">
    <w:name w:val="TOC Heading"/>
    <w:basedOn w:val="Ttulo1"/>
    <w:next w:val="Normal"/>
    <w:uiPriority w:val="99"/>
    <w:qFormat/>
    <w:rsid w:val="00961889"/>
    <w:pPr>
      <w:outlineLvl w:val="9"/>
    </w:pPr>
  </w:style>
  <w:style w:type="paragraph" w:styleId="Sumrio1">
    <w:name w:val="toc 1"/>
    <w:basedOn w:val="Normal"/>
    <w:next w:val="Normal"/>
    <w:autoRedefine/>
    <w:uiPriority w:val="99"/>
    <w:semiHidden/>
    <w:rsid w:val="00961889"/>
    <w:pPr>
      <w:spacing w:after="100"/>
    </w:pPr>
    <w:rPr>
      <w:rFonts w:eastAsia="Calibri"/>
    </w:rPr>
  </w:style>
  <w:style w:type="paragraph" w:styleId="Sumrio2">
    <w:name w:val="toc 2"/>
    <w:basedOn w:val="Normal"/>
    <w:next w:val="Normal"/>
    <w:autoRedefine/>
    <w:uiPriority w:val="99"/>
    <w:semiHidden/>
    <w:rsid w:val="00961889"/>
    <w:pPr>
      <w:spacing w:after="100"/>
      <w:ind w:left="220"/>
    </w:pPr>
    <w:rPr>
      <w:rFonts w:eastAsia="Calibri"/>
    </w:rPr>
  </w:style>
  <w:style w:type="paragraph" w:styleId="PargrafodaLista">
    <w:name w:val="List Paragraph"/>
    <w:basedOn w:val="Normal"/>
    <w:uiPriority w:val="99"/>
    <w:qFormat/>
    <w:rsid w:val="00961889"/>
    <w:pPr>
      <w:ind w:left="720"/>
    </w:pPr>
    <w:rPr>
      <w:rFonts w:eastAsia="Calibri"/>
    </w:rPr>
  </w:style>
  <w:style w:type="paragraph" w:styleId="Subttulo">
    <w:name w:val="Subtitle"/>
    <w:basedOn w:val="Normal"/>
    <w:next w:val="Normal"/>
    <w:link w:val="SubttuloChar"/>
    <w:uiPriority w:val="99"/>
    <w:qFormat/>
    <w:rsid w:val="00BA230E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BA230E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styleId="Sumrio3">
    <w:name w:val="toc 3"/>
    <w:basedOn w:val="Normal"/>
    <w:next w:val="Normal"/>
    <w:autoRedefine/>
    <w:uiPriority w:val="99"/>
    <w:semiHidden/>
    <w:rsid w:val="009A01D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AUMENTO DO</vt:lpstr>
    </vt:vector>
  </TitlesOfParts>
  <Company>DELLNBX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AUMENTO DO</dc:title>
  <dc:creator>TCE-RN</dc:creator>
  <cp:lastModifiedBy>Usuário</cp:lastModifiedBy>
  <cp:revision>3</cp:revision>
  <cp:lastPrinted>2011-03-02T14:52:00Z</cp:lastPrinted>
  <dcterms:created xsi:type="dcterms:W3CDTF">2013-04-12T12:56:00Z</dcterms:created>
  <dcterms:modified xsi:type="dcterms:W3CDTF">2013-04-30T12:51:00Z</dcterms:modified>
</cp:coreProperties>
</file>