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3DD26" w14:textId="718D5A78" w:rsidR="00843488" w:rsidRDefault="00843488" w:rsidP="00FD394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RELATÓRIO DE GESTÃO 2024-2025</w:t>
      </w:r>
    </w:p>
    <w:p w14:paraId="441471DB" w14:textId="7DDD12D8" w:rsidR="00B46750" w:rsidRPr="001F4DFF" w:rsidRDefault="00B46750" w:rsidP="009D7DDE">
      <w:pPr>
        <w:jc w:val="right"/>
        <w:rPr>
          <w:b/>
          <w:bCs/>
          <w:sz w:val="28"/>
          <w:szCs w:val="28"/>
        </w:rPr>
      </w:pPr>
      <w:r w:rsidRPr="001F4DFF">
        <w:rPr>
          <w:b/>
          <w:bCs/>
          <w:sz w:val="28"/>
          <w:szCs w:val="28"/>
        </w:rPr>
        <w:t>Saudações e objetivo</w:t>
      </w:r>
    </w:p>
    <w:p w14:paraId="6B933F23" w14:textId="4D33D25C" w:rsidR="00B46750" w:rsidRDefault="00B46750" w:rsidP="002E5A7C">
      <w:pPr>
        <w:jc w:val="both"/>
        <w:rPr>
          <w:sz w:val="28"/>
          <w:szCs w:val="28"/>
        </w:rPr>
      </w:pPr>
      <w:r w:rsidRPr="001A4AD5">
        <w:rPr>
          <w:sz w:val="28"/>
          <w:szCs w:val="28"/>
        </w:rPr>
        <w:t xml:space="preserve">Excelentíssimo Senhor Presidente, Conselheiros deste Tribunal </w:t>
      </w:r>
      <w:r w:rsidR="005B577B">
        <w:rPr>
          <w:sz w:val="28"/>
          <w:szCs w:val="28"/>
        </w:rPr>
        <w:t>de Contas</w:t>
      </w:r>
      <w:r w:rsidRPr="001A4AD5">
        <w:rPr>
          <w:sz w:val="28"/>
          <w:szCs w:val="28"/>
        </w:rPr>
        <w:t xml:space="preserve">, Senhores Conselheiros Substitutos, </w:t>
      </w:r>
      <w:r w:rsidR="005B577B">
        <w:rPr>
          <w:sz w:val="28"/>
          <w:szCs w:val="28"/>
        </w:rPr>
        <w:t xml:space="preserve">Senhor </w:t>
      </w:r>
      <w:r w:rsidRPr="001A4AD5">
        <w:rPr>
          <w:sz w:val="28"/>
          <w:szCs w:val="28"/>
        </w:rPr>
        <w:t>Procurador</w:t>
      </w:r>
      <w:r w:rsidR="005B577B">
        <w:rPr>
          <w:sz w:val="28"/>
          <w:szCs w:val="28"/>
        </w:rPr>
        <w:t>-Geral</w:t>
      </w:r>
      <w:r w:rsidRPr="001A4AD5">
        <w:rPr>
          <w:sz w:val="28"/>
          <w:szCs w:val="28"/>
        </w:rPr>
        <w:t xml:space="preserve"> do Ministério Público de Contas</w:t>
      </w:r>
      <w:r w:rsidR="00C87F96">
        <w:rPr>
          <w:sz w:val="28"/>
          <w:szCs w:val="28"/>
        </w:rPr>
        <w:t>.</w:t>
      </w:r>
    </w:p>
    <w:p w14:paraId="227630A7" w14:textId="14453E23" w:rsidR="001F4DFF" w:rsidRDefault="001F4DFF" w:rsidP="002E5A7C">
      <w:pPr>
        <w:jc w:val="both"/>
        <w:rPr>
          <w:sz w:val="28"/>
          <w:szCs w:val="28"/>
        </w:rPr>
      </w:pPr>
      <w:r w:rsidRPr="001A4AD5">
        <w:rPr>
          <w:sz w:val="28"/>
          <w:szCs w:val="28"/>
        </w:rPr>
        <w:t>Saúdo, em nome de toda a sociedade potiguar,</w:t>
      </w:r>
      <w:r w:rsidR="00C87F96">
        <w:rPr>
          <w:sz w:val="28"/>
          <w:szCs w:val="28"/>
        </w:rPr>
        <w:t xml:space="preserve"> vossas excelências e</w:t>
      </w:r>
      <w:r w:rsidRPr="001A4AD5">
        <w:rPr>
          <w:sz w:val="28"/>
          <w:szCs w:val="28"/>
        </w:rPr>
        <w:t xml:space="preserve"> o público que nos acompanha. </w:t>
      </w:r>
    </w:p>
    <w:p w14:paraId="7DEE9B0A" w14:textId="7D61EC5E" w:rsidR="002E5A7C" w:rsidRPr="001A4AD5" w:rsidRDefault="002E5A7C" w:rsidP="002E5A7C">
      <w:pPr>
        <w:jc w:val="both"/>
        <w:rPr>
          <w:sz w:val="28"/>
          <w:szCs w:val="28"/>
        </w:rPr>
      </w:pPr>
      <w:r w:rsidRPr="001A4AD5">
        <w:rPr>
          <w:sz w:val="28"/>
          <w:szCs w:val="28"/>
        </w:rPr>
        <w:t xml:space="preserve">NESTA SESSÃO PLENÁRIA DO NOSSO TRIBUNAL, como Secretário de Controle Externo, VENHO COM SATISFAÇÃO apresentar uma SÍNTESE dos RESULTADOS DA SECEX e das nossas </w:t>
      </w:r>
      <w:r w:rsidR="00C87F96">
        <w:rPr>
          <w:sz w:val="28"/>
          <w:szCs w:val="28"/>
        </w:rPr>
        <w:t xml:space="preserve">8 </w:t>
      </w:r>
      <w:r w:rsidRPr="001A4AD5">
        <w:rPr>
          <w:sz w:val="28"/>
          <w:szCs w:val="28"/>
        </w:rPr>
        <w:t xml:space="preserve">Unidades Técnicas de Controle Externo, referentes ao </w:t>
      </w:r>
      <w:r w:rsidR="00D31F27">
        <w:rPr>
          <w:sz w:val="28"/>
          <w:szCs w:val="28"/>
        </w:rPr>
        <w:t>P</w:t>
      </w:r>
      <w:r w:rsidR="005B577B">
        <w:rPr>
          <w:sz w:val="28"/>
          <w:szCs w:val="28"/>
        </w:rPr>
        <w:t xml:space="preserve">lano de </w:t>
      </w:r>
      <w:r w:rsidR="00D31F27">
        <w:rPr>
          <w:sz w:val="28"/>
          <w:szCs w:val="28"/>
        </w:rPr>
        <w:t>F</w:t>
      </w:r>
      <w:r w:rsidR="005B577B">
        <w:rPr>
          <w:sz w:val="28"/>
          <w:szCs w:val="28"/>
        </w:rPr>
        <w:t xml:space="preserve">iscalização </w:t>
      </w:r>
      <w:r w:rsidR="00D31F27">
        <w:rPr>
          <w:sz w:val="28"/>
          <w:szCs w:val="28"/>
        </w:rPr>
        <w:t>A</w:t>
      </w:r>
      <w:r w:rsidR="005B577B">
        <w:rPr>
          <w:sz w:val="28"/>
          <w:szCs w:val="28"/>
        </w:rPr>
        <w:t>nual</w:t>
      </w:r>
      <w:r w:rsidR="00D31F27">
        <w:rPr>
          <w:sz w:val="28"/>
          <w:szCs w:val="28"/>
        </w:rPr>
        <w:t xml:space="preserve"> 2024/</w:t>
      </w:r>
      <w:r w:rsidRPr="001A4AD5">
        <w:rPr>
          <w:sz w:val="28"/>
          <w:szCs w:val="28"/>
        </w:rPr>
        <w:t>2025.</w:t>
      </w:r>
      <w:r w:rsidR="006024B3">
        <w:rPr>
          <w:sz w:val="28"/>
          <w:szCs w:val="28"/>
        </w:rPr>
        <w:t xml:space="preserve"> </w:t>
      </w:r>
    </w:p>
    <w:p w14:paraId="62D3ED95" w14:textId="34BD3075" w:rsidR="003F6EEB" w:rsidRDefault="002E5A7C" w:rsidP="002E5A7C">
      <w:pPr>
        <w:jc w:val="both"/>
        <w:rPr>
          <w:sz w:val="28"/>
          <w:szCs w:val="28"/>
        </w:rPr>
      </w:pPr>
      <w:r w:rsidRPr="001A4AD5">
        <w:rPr>
          <w:sz w:val="28"/>
          <w:szCs w:val="28"/>
        </w:rPr>
        <w:t xml:space="preserve">Como é de conhecimento de todos, </w:t>
      </w:r>
      <w:r w:rsidR="009B0CB4">
        <w:rPr>
          <w:sz w:val="28"/>
          <w:szCs w:val="28"/>
        </w:rPr>
        <w:t xml:space="preserve">esse Plano </w:t>
      </w:r>
      <w:r w:rsidRPr="001A4AD5">
        <w:rPr>
          <w:sz w:val="28"/>
          <w:szCs w:val="28"/>
        </w:rPr>
        <w:t>termina em março, tendo, então, alguns produtos aqui apresentados sido iniciados na gestão passada e concluídos no corrente ano.</w:t>
      </w:r>
      <w:r w:rsidR="00D31F27">
        <w:rPr>
          <w:sz w:val="28"/>
          <w:szCs w:val="28"/>
        </w:rPr>
        <w:t xml:space="preserve"> </w:t>
      </w:r>
    </w:p>
    <w:p w14:paraId="48DF49C2" w14:textId="1CD4E0D4" w:rsidR="002E5A7C" w:rsidRPr="001A4AD5" w:rsidRDefault="008A79AD" w:rsidP="002E5A7C">
      <w:pPr>
        <w:jc w:val="both"/>
        <w:rPr>
          <w:sz w:val="28"/>
          <w:szCs w:val="28"/>
        </w:rPr>
      </w:pPr>
      <w:r>
        <w:rPr>
          <w:sz w:val="28"/>
          <w:szCs w:val="28"/>
        </w:rPr>
        <w:t>Aproveito o momento, também, para fazer um balanço das ações da Secex no ano de 2025.</w:t>
      </w:r>
    </w:p>
    <w:p w14:paraId="1808D183" w14:textId="77777777" w:rsidR="001A4AD5" w:rsidRPr="009D7DDE" w:rsidRDefault="001A4AD5" w:rsidP="009D7DDE">
      <w:pPr>
        <w:jc w:val="right"/>
        <w:rPr>
          <w:b/>
          <w:bCs/>
          <w:sz w:val="20"/>
          <w:szCs w:val="20"/>
        </w:rPr>
      </w:pPr>
      <w:r w:rsidRPr="009D7DDE">
        <w:rPr>
          <w:b/>
          <w:bCs/>
          <w:sz w:val="20"/>
          <w:szCs w:val="20"/>
        </w:rPr>
        <w:t>Introdução: Compromisso e Reconhecimento</w:t>
      </w:r>
    </w:p>
    <w:p w14:paraId="0B50E8E3" w14:textId="5D37254D" w:rsidR="001A4AD5" w:rsidRPr="001A4AD5" w:rsidRDefault="009B0CB4" w:rsidP="001A4AD5">
      <w:pPr>
        <w:jc w:val="both"/>
        <w:rPr>
          <w:sz w:val="28"/>
          <w:szCs w:val="28"/>
        </w:rPr>
      </w:pPr>
      <w:r>
        <w:rPr>
          <w:sz w:val="28"/>
          <w:szCs w:val="28"/>
        </w:rPr>
        <w:t>N</w:t>
      </w:r>
      <w:r w:rsidR="001A4AD5" w:rsidRPr="001A4AD5">
        <w:rPr>
          <w:sz w:val="28"/>
          <w:szCs w:val="28"/>
        </w:rPr>
        <w:t>ossa missão, enquanto órgão de auditoria, é garantir que o controle externo seja uma alavanca para a excelência da gestão pública. O que apresentamos é o reflexo de uma atuação técnica, estratégica e alinhada às expectativas da sociedade.</w:t>
      </w:r>
    </w:p>
    <w:p w14:paraId="3A0313A6" w14:textId="13A2F7EF" w:rsidR="001A4AD5" w:rsidRPr="009D7DDE" w:rsidRDefault="001A4AD5" w:rsidP="009D7DDE">
      <w:pPr>
        <w:jc w:val="right"/>
        <w:rPr>
          <w:b/>
          <w:bCs/>
          <w:sz w:val="20"/>
          <w:szCs w:val="20"/>
        </w:rPr>
      </w:pPr>
      <w:r w:rsidRPr="009D7DDE">
        <w:rPr>
          <w:b/>
          <w:bCs/>
          <w:sz w:val="20"/>
          <w:szCs w:val="20"/>
        </w:rPr>
        <w:t>Desempenho e Ações Estratégicas de Destaque</w:t>
      </w:r>
    </w:p>
    <w:p w14:paraId="4D4FF9DA" w14:textId="77777777" w:rsidR="00104964" w:rsidRDefault="009D7DDE" w:rsidP="00AC51F0">
      <w:pPr>
        <w:jc w:val="both"/>
        <w:rPr>
          <w:sz w:val="28"/>
          <w:szCs w:val="28"/>
        </w:rPr>
      </w:pPr>
      <w:r>
        <w:rPr>
          <w:sz w:val="28"/>
          <w:szCs w:val="28"/>
        </w:rPr>
        <w:t>O</w:t>
      </w:r>
      <w:r w:rsidR="001A4AD5" w:rsidRPr="001A4AD5">
        <w:rPr>
          <w:sz w:val="28"/>
          <w:szCs w:val="28"/>
        </w:rPr>
        <w:t xml:space="preserve"> </w:t>
      </w:r>
      <w:r w:rsidR="001A4AD5" w:rsidRPr="001A4AD5">
        <w:rPr>
          <w:b/>
          <w:bCs/>
          <w:sz w:val="28"/>
          <w:szCs w:val="28"/>
        </w:rPr>
        <w:t>Desempenho</w:t>
      </w:r>
      <w:r w:rsidR="001A4AD5" w:rsidRPr="001A4AD5">
        <w:rPr>
          <w:sz w:val="28"/>
          <w:szCs w:val="28"/>
        </w:rPr>
        <w:t xml:space="preserve"> </w:t>
      </w:r>
      <w:r>
        <w:rPr>
          <w:sz w:val="28"/>
          <w:szCs w:val="28"/>
        </w:rPr>
        <w:t>d</w:t>
      </w:r>
      <w:r w:rsidR="001A4AD5" w:rsidRPr="001A4AD5">
        <w:rPr>
          <w:sz w:val="28"/>
          <w:szCs w:val="28"/>
        </w:rPr>
        <w:t>o PFA</w:t>
      </w:r>
      <w:r w:rsidR="00C34AFB">
        <w:rPr>
          <w:sz w:val="28"/>
          <w:szCs w:val="28"/>
        </w:rPr>
        <w:t xml:space="preserve"> atingiu o índice de </w:t>
      </w:r>
      <w:r w:rsidR="0056653E">
        <w:rPr>
          <w:sz w:val="28"/>
          <w:szCs w:val="28"/>
        </w:rPr>
        <w:t>96</w:t>
      </w:r>
      <w:r w:rsidR="00404DEF">
        <w:rPr>
          <w:sz w:val="28"/>
          <w:szCs w:val="28"/>
        </w:rPr>
        <w:t>%, levemente acima da média dos últimos 5 anos.</w:t>
      </w:r>
    </w:p>
    <w:p w14:paraId="6744E688" w14:textId="77777777" w:rsidR="00104964" w:rsidRDefault="00A9624C" w:rsidP="00AC51F0">
      <w:pPr>
        <w:jc w:val="both"/>
        <w:rPr>
          <w:sz w:val="28"/>
          <w:szCs w:val="28"/>
        </w:rPr>
      </w:pPr>
      <w:r>
        <w:rPr>
          <w:sz w:val="28"/>
          <w:szCs w:val="28"/>
        </w:rPr>
        <w:t>As n</w:t>
      </w:r>
      <w:r w:rsidR="000D66DE">
        <w:rPr>
          <w:sz w:val="28"/>
          <w:szCs w:val="28"/>
        </w:rPr>
        <w:t>ossa</w:t>
      </w:r>
      <w:r w:rsidR="009504AC">
        <w:rPr>
          <w:sz w:val="28"/>
          <w:szCs w:val="28"/>
        </w:rPr>
        <w:t xml:space="preserve">s fiscalizações e auditorias focam em </w:t>
      </w:r>
      <w:r w:rsidR="001A4AD5" w:rsidRPr="001A4AD5">
        <w:rPr>
          <w:sz w:val="28"/>
          <w:szCs w:val="28"/>
        </w:rPr>
        <w:t>temas de alta relevância</w:t>
      </w:r>
      <w:r w:rsidR="009504AC">
        <w:rPr>
          <w:sz w:val="28"/>
          <w:szCs w:val="28"/>
        </w:rPr>
        <w:t>, risco e materialidade</w:t>
      </w:r>
      <w:r w:rsidR="00104964">
        <w:rPr>
          <w:sz w:val="28"/>
          <w:szCs w:val="28"/>
        </w:rPr>
        <w:t>.</w:t>
      </w:r>
    </w:p>
    <w:p w14:paraId="4CC3111F" w14:textId="77777777" w:rsidR="00042461" w:rsidRDefault="00104964" w:rsidP="00AC51F0">
      <w:pPr>
        <w:jc w:val="both"/>
        <w:rPr>
          <w:sz w:val="28"/>
          <w:szCs w:val="28"/>
        </w:rPr>
      </w:pPr>
      <w:r>
        <w:rPr>
          <w:sz w:val="28"/>
          <w:szCs w:val="28"/>
        </w:rPr>
        <w:t>S</w:t>
      </w:r>
      <w:r w:rsidR="00E45249">
        <w:rPr>
          <w:sz w:val="28"/>
          <w:szCs w:val="28"/>
        </w:rPr>
        <w:t>eguimos ouvindo a população por meio d</w:t>
      </w:r>
      <w:r w:rsidR="00D70835">
        <w:rPr>
          <w:sz w:val="28"/>
          <w:szCs w:val="28"/>
        </w:rPr>
        <w:t>e</w:t>
      </w:r>
      <w:r w:rsidR="00E45249">
        <w:rPr>
          <w:sz w:val="28"/>
          <w:szCs w:val="28"/>
        </w:rPr>
        <w:t xml:space="preserve"> Consulta Pública</w:t>
      </w:r>
      <w:r w:rsidR="00B006EC">
        <w:rPr>
          <w:sz w:val="28"/>
          <w:szCs w:val="28"/>
        </w:rPr>
        <w:t xml:space="preserve"> sobre os temas </w:t>
      </w:r>
      <w:r w:rsidR="008E7D8C">
        <w:rPr>
          <w:sz w:val="28"/>
          <w:szCs w:val="28"/>
        </w:rPr>
        <w:t xml:space="preserve">considerados </w:t>
      </w:r>
      <w:r w:rsidR="00B006EC">
        <w:rPr>
          <w:sz w:val="28"/>
          <w:szCs w:val="28"/>
        </w:rPr>
        <w:t>prioritários</w:t>
      </w:r>
      <w:r w:rsidR="00A9624C">
        <w:rPr>
          <w:sz w:val="28"/>
          <w:szCs w:val="28"/>
        </w:rPr>
        <w:t>.</w:t>
      </w:r>
      <w:r w:rsidR="00B006EC">
        <w:rPr>
          <w:sz w:val="28"/>
          <w:szCs w:val="28"/>
        </w:rPr>
        <w:t xml:space="preserve"> </w:t>
      </w:r>
      <w:r w:rsidR="00A9624C">
        <w:rPr>
          <w:sz w:val="28"/>
          <w:szCs w:val="28"/>
        </w:rPr>
        <w:t>N</w:t>
      </w:r>
      <w:r w:rsidR="00B006EC">
        <w:rPr>
          <w:sz w:val="28"/>
          <w:szCs w:val="28"/>
        </w:rPr>
        <w:t>oss</w:t>
      </w:r>
      <w:r w:rsidR="00F86FE6">
        <w:rPr>
          <w:sz w:val="28"/>
          <w:szCs w:val="28"/>
        </w:rPr>
        <w:t>a</w:t>
      </w:r>
      <w:r w:rsidR="00B006EC">
        <w:rPr>
          <w:sz w:val="28"/>
          <w:szCs w:val="28"/>
        </w:rPr>
        <w:t xml:space="preserve"> </w:t>
      </w:r>
      <w:r w:rsidR="00F86FE6">
        <w:rPr>
          <w:sz w:val="28"/>
          <w:szCs w:val="28"/>
        </w:rPr>
        <w:t xml:space="preserve">metodologia de </w:t>
      </w:r>
      <w:r w:rsidR="00A9624C">
        <w:rPr>
          <w:sz w:val="28"/>
          <w:szCs w:val="28"/>
        </w:rPr>
        <w:t>p</w:t>
      </w:r>
      <w:r w:rsidR="00B006EC">
        <w:rPr>
          <w:sz w:val="28"/>
          <w:szCs w:val="28"/>
        </w:rPr>
        <w:t>lan</w:t>
      </w:r>
      <w:r w:rsidR="00F86FE6">
        <w:rPr>
          <w:sz w:val="28"/>
          <w:szCs w:val="28"/>
        </w:rPr>
        <w:t xml:space="preserve">ejar </w:t>
      </w:r>
      <w:r w:rsidR="00A9624C">
        <w:rPr>
          <w:sz w:val="28"/>
          <w:szCs w:val="28"/>
        </w:rPr>
        <w:t xml:space="preserve">o </w:t>
      </w:r>
      <w:r w:rsidR="00B006EC">
        <w:rPr>
          <w:sz w:val="28"/>
          <w:szCs w:val="28"/>
        </w:rPr>
        <w:t>Controle Externo</w:t>
      </w:r>
      <w:r w:rsidR="0060318C">
        <w:rPr>
          <w:sz w:val="28"/>
          <w:szCs w:val="28"/>
        </w:rPr>
        <w:t xml:space="preserve"> </w:t>
      </w:r>
      <w:r w:rsidR="00A9624C">
        <w:rPr>
          <w:sz w:val="28"/>
          <w:szCs w:val="28"/>
        </w:rPr>
        <w:t xml:space="preserve">é reconhecida pela </w:t>
      </w:r>
      <w:proofErr w:type="spellStart"/>
      <w:r w:rsidR="00A9624C">
        <w:rPr>
          <w:sz w:val="28"/>
          <w:szCs w:val="28"/>
        </w:rPr>
        <w:t>Atricon</w:t>
      </w:r>
      <w:proofErr w:type="spellEnd"/>
      <w:r w:rsidR="00A9624C">
        <w:rPr>
          <w:sz w:val="28"/>
          <w:szCs w:val="28"/>
        </w:rPr>
        <w:t xml:space="preserve"> como boa prática</w:t>
      </w:r>
      <w:r w:rsidR="00AC51F0">
        <w:rPr>
          <w:sz w:val="28"/>
          <w:szCs w:val="28"/>
        </w:rPr>
        <w:t>, onde alcançamos a nota máxima no MMD</w:t>
      </w:r>
      <w:r w:rsidR="00663858">
        <w:rPr>
          <w:sz w:val="28"/>
          <w:szCs w:val="28"/>
        </w:rPr>
        <w:t>.</w:t>
      </w:r>
      <w:r w:rsidR="001A4AD5" w:rsidRPr="001A4AD5">
        <w:rPr>
          <w:sz w:val="28"/>
          <w:szCs w:val="28"/>
        </w:rPr>
        <w:t xml:space="preserve"> </w:t>
      </w:r>
    </w:p>
    <w:p w14:paraId="23159036" w14:textId="5EF088F5" w:rsidR="001A4AD5" w:rsidRPr="001A4AD5" w:rsidRDefault="001A4AD5" w:rsidP="00AC51F0">
      <w:pPr>
        <w:jc w:val="both"/>
        <w:rPr>
          <w:sz w:val="28"/>
          <w:szCs w:val="28"/>
        </w:rPr>
      </w:pPr>
      <w:r w:rsidRPr="001A4AD5">
        <w:rPr>
          <w:sz w:val="28"/>
          <w:szCs w:val="28"/>
        </w:rPr>
        <w:lastRenderedPageBreak/>
        <w:t xml:space="preserve">As </w:t>
      </w:r>
      <w:r w:rsidRPr="001A4AD5">
        <w:rPr>
          <w:b/>
          <w:bCs/>
          <w:sz w:val="28"/>
          <w:szCs w:val="28"/>
        </w:rPr>
        <w:t xml:space="preserve">Ações de Controle Externo </w:t>
      </w:r>
      <w:r w:rsidRPr="001A4AD5">
        <w:rPr>
          <w:sz w:val="28"/>
          <w:szCs w:val="28"/>
        </w:rPr>
        <w:t xml:space="preserve">foram direcionadas a áreas críticas, </w:t>
      </w:r>
      <w:r w:rsidR="000565D6">
        <w:rPr>
          <w:sz w:val="28"/>
          <w:szCs w:val="28"/>
        </w:rPr>
        <w:t xml:space="preserve">em que </w:t>
      </w:r>
      <w:r w:rsidRPr="001A4AD5">
        <w:rPr>
          <w:sz w:val="28"/>
          <w:szCs w:val="28"/>
        </w:rPr>
        <w:t xml:space="preserve">o impacto da </w:t>
      </w:r>
      <w:r w:rsidR="009504AC">
        <w:rPr>
          <w:sz w:val="28"/>
          <w:szCs w:val="28"/>
        </w:rPr>
        <w:t xml:space="preserve">atuação dos auditores </w:t>
      </w:r>
      <w:r w:rsidRPr="001A4AD5">
        <w:rPr>
          <w:sz w:val="28"/>
          <w:szCs w:val="28"/>
        </w:rPr>
        <w:t>se traduz em benefícios diretos ao cidadão.</w:t>
      </w:r>
    </w:p>
    <w:p w14:paraId="0D4A3758" w14:textId="0F025998" w:rsidR="001A4AD5" w:rsidRPr="001A4AD5" w:rsidRDefault="001A4AD5" w:rsidP="001A4AD5">
      <w:pPr>
        <w:jc w:val="both"/>
        <w:rPr>
          <w:sz w:val="28"/>
          <w:szCs w:val="28"/>
        </w:rPr>
      </w:pPr>
      <w:r w:rsidRPr="001A4AD5">
        <w:rPr>
          <w:sz w:val="28"/>
          <w:szCs w:val="28"/>
        </w:rPr>
        <w:t>Podemos citar</w:t>
      </w:r>
      <w:r w:rsidR="008E7D8C">
        <w:rPr>
          <w:sz w:val="28"/>
          <w:szCs w:val="28"/>
        </w:rPr>
        <w:t xml:space="preserve">, por exemplo, </w:t>
      </w:r>
      <w:r w:rsidRPr="001A4AD5">
        <w:rPr>
          <w:sz w:val="28"/>
          <w:szCs w:val="28"/>
        </w:rPr>
        <w:t>o acompanhamento rigoroso do equilíbrio financeiro dos regimes próprios de previdência, a</w:t>
      </w:r>
      <w:r w:rsidR="00663858">
        <w:rPr>
          <w:sz w:val="28"/>
          <w:szCs w:val="28"/>
        </w:rPr>
        <w:t>s</w:t>
      </w:r>
      <w:r w:rsidRPr="001A4AD5">
        <w:rPr>
          <w:sz w:val="28"/>
          <w:szCs w:val="28"/>
        </w:rPr>
        <w:t xml:space="preserve"> auditoria</w:t>
      </w:r>
      <w:r w:rsidR="00663858">
        <w:rPr>
          <w:sz w:val="28"/>
          <w:szCs w:val="28"/>
        </w:rPr>
        <w:t>s financeiras</w:t>
      </w:r>
      <w:r w:rsidRPr="001A4AD5">
        <w:rPr>
          <w:sz w:val="28"/>
          <w:szCs w:val="28"/>
        </w:rPr>
        <w:t xml:space="preserve"> </w:t>
      </w:r>
      <w:r w:rsidR="00663858">
        <w:rPr>
          <w:sz w:val="28"/>
          <w:szCs w:val="28"/>
        </w:rPr>
        <w:t>sobre as o</w:t>
      </w:r>
      <w:r w:rsidRPr="001A4AD5">
        <w:rPr>
          <w:sz w:val="28"/>
          <w:szCs w:val="28"/>
        </w:rPr>
        <w:t>peraç</w:t>
      </w:r>
      <w:r w:rsidR="00663858">
        <w:rPr>
          <w:sz w:val="28"/>
          <w:szCs w:val="28"/>
        </w:rPr>
        <w:t>ões</w:t>
      </w:r>
      <w:r w:rsidRPr="001A4AD5">
        <w:rPr>
          <w:sz w:val="28"/>
          <w:szCs w:val="28"/>
        </w:rPr>
        <w:t xml:space="preserve"> de crédito externo </w:t>
      </w:r>
      <w:r w:rsidR="00D70835">
        <w:rPr>
          <w:sz w:val="28"/>
          <w:szCs w:val="28"/>
        </w:rPr>
        <w:t>junto a</w:t>
      </w:r>
      <w:r w:rsidRPr="001A4AD5">
        <w:rPr>
          <w:sz w:val="28"/>
          <w:szCs w:val="28"/>
        </w:rPr>
        <w:t>o BIRD</w:t>
      </w:r>
      <w:r w:rsidR="00663858">
        <w:rPr>
          <w:sz w:val="28"/>
          <w:szCs w:val="28"/>
        </w:rPr>
        <w:t xml:space="preserve"> e ao FONPLATA.</w:t>
      </w:r>
      <w:r w:rsidR="00B65F21">
        <w:rPr>
          <w:sz w:val="28"/>
          <w:szCs w:val="28"/>
        </w:rPr>
        <w:t xml:space="preserve"> Concluímos o projeto de</w:t>
      </w:r>
      <w:r w:rsidRPr="001A4AD5">
        <w:rPr>
          <w:sz w:val="28"/>
          <w:szCs w:val="28"/>
        </w:rPr>
        <w:t xml:space="preserve"> </w:t>
      </w:r>
      <w:r w:rsidR="0047011C">
        <w:rPr>
          <w:sz w:val="28"/>
          <w:szCs w:val="28"/>
        </w:rPr>
        <w:t>apreciação</w:t>
      </w:r>
      <w:r w:rsidRPr="001A4AD5">
        <w:rPr>
          <w:sz w:val="28"/>
          <w:szCs w:val="28"/>
        </w:rPr>
        <w:t xml:space="preserve"> trienal das Contas de Governo Municipal</w:t>
      </w:r>
      <w:r w:rsidR="0047011C">
        <w:rPr>
          <w:sz w:val="28"/>
          <w:szCs w:val="28"/>
        </w:rPr>
        <w:t xml:space="preserve">, encerrando esse estoque de </w:t>
      </w:r>
      <w:r w:rsidR="008E7D8C">
        <w:rPr>
          <w:sz w:val="28"/>
          <w:szCs w:val="28"/>
        </w:rPr>
        <w:t xml:space="preserve">análise inicial de </w:t>
      </w:r>
      <w:r w:rsidR="0047011C">
        <w:rPr>
          <w:sz w:val="28"/>
          <w:szCs w:val="28"/>
        </w:rPr>
        <w:t xml:space="preserve">contas </w:t>
      </w:r>
      <w:r w:rsidR="008E7D8C">
        <w:rPr>
          <w:sz w:val="28"/>
          <w:szCs w:val="28"/>
        </w:rPr>
        <w:t xml:space="preserve">de exercícios </w:t>
      </w:r>
      <w:r w:rsidR="0047011C">
        <w:rPr>
          <w:sz w:val="28"/>
          <w:szCs w:val="28"/>
        </w:rPr>
        <w:t>anteriores</w:t>
      </w:r>
      <w:r w:rsidRPr="001A4AD5">
        <w:rPr>
          <w:sz w:val="28"/>
          <w:szCs w:val="28"/>
        </w:rPr>
        <w:t xml:space="preserve">. Tivemos </w:t>
      </w:r>
      <w:r w:rsidR="0047011C">
        <w:rPr>
          <w:sz w:val="28"/>
          <w:szCs w:val="28"/>
        </w:rPr>
        <w:t xml:space="preserve">também </w:t>
      </w:r>
      <w:r w:rsidRPr="001A4AD5">
        <w:rPr>
          <w:sz w:val="28"/>
          <w:szCs w:val="28"/>
        </w:rPr>
        <w:t xml:space="preserve">um papel </w:t>
      </w:r>
      <w:r w:rsidR="00DF5CAD">
        <w:rPr>
          <w:sz w:val="28"/>
          <w:szCs w:val="28"/>
        </w:rPr>
        <w:t xml:space="preserve">de destaque </w:t>
      </w:r>
      <w:r w:rsidRPr="001A4AD5">
        <w:rPr>
          <w:sz w:val="28"/>
          <w:szCs w:val="28"/>
        </w:rPr>
        <w:t xml:space="preserve">no acompanhamento da Licitação dos transportes públicos de Natal e na avaliação do </w:t>
      </w:r>
      <w:r w:rsidR="00DF5CAD">
        <w:rPr>
          <w:sz w:val="28"/>
          <w:szCs w:val="28"/>
        </w:rPr>
        <w:t>S</w:t>
      </w:r>
      <w:r w:rsidRPr="001A4AD5">
        <w:rPr>
          <w:sz w:val="28"/>
          <w:szCs w:val="28"/>
        </w:rPr>
        <w:t>istema de regulação de leitos d</w:t>
      </w:r>
      <w:r w:rsidR="00DF5CAD">
        <w:rPr>
          <w:sz w:val="28"/>
          <w:szCs w:val="28"/>
        </w:rPr>
        <w:t>a</w:t>
      </w:r>
      <w:r w:rsidRPr="001A4AD5">
        <w:rPr>
          <w:sz w:val="28"/>
          <w:szCs w:val="28"/>
        </w:rPr>
        <w:t xml:space="preserve"> </w:t>
      </w:r>
      <w:r w:rsidR="008E7D8C">
        <w:rPr>
          <w:sz w:val="28"/>
          <w:szCs w:val="28"/>
        </w:rPr>
        <w:t>SESAP</w:t>
      </w:r>
      <w:r w:rsidRPr="001A4AD5">
        <w:rPr>
          <w:sz w:val="28"/>
          <w:szCs w:val="28"/>
        </w:rPr>
        <w:t xml:space="preserve">, o </w:t>
      </w:r>
      <w:r w:rsidRPr="001A4AD5">
        <w:rPr>
          <w:i/>
          <w:iCs/>
          <w:sz w:val="28"/>
          <w:szCs w:val="28"/>
        </w:rPr>
        <w:t>Regula RN</w:t>
      </w:r>
      <w:r w:rsidR="005C4A88">
        <w:rPr>
          <w:i/>
          <w:iCs/>
          <w:sz w:val="28"/>
          <w:szCs w:val="28"/>
        </w:rPr>
        <w:t xml:space="preserve">, </w:t>
      </w:r>
      <w:r w:rsidR="005C4A88">
        <w:rPr>
          <w:sz w:val="28"/>
          <w:szCs w:val="28"/>
        </w:rPr>
        <w:t xml:space="preserve">ambas matérias que impactam milhões de </w:t>
      </w:r>
      <w:r w:rsidR="007D3A74">
        <w:rPr>
          <w:sz w:val="28"/>
          <w:szCs w:val="28"/>
        </w:rPr>
        <w:t xml:space="preserve">pessoas </w:t>
      </w:r>
      <w:r w:rsidR="00042461">
        <w:rPr>
          <w:sz w:val="28"/>
          <w:szCs w:val="28"/>
        </w:rPr>
        <w:t>em</w:t>
      </w:r>
      <w:r w:rsidR="007D3A74">
        <w:rPr>
          <w:sz w:val="28"/>
          <w:szCs w:val="28"/>
        </w:rPr>
        <w:t xml:space="preserve"> nosso Estado</w:t>
      </w:r>
      <w:r w:rsidRPr="001A4AD5">
        <w:rPr>
          <w:sz w:val="28"/>
          <w:szCs w:val="28"/>
        </w:rPr>
        <w:t>.</w:t>
      </w:r>
    </w:p>
    <w:p w14:paraId="2520B5AD" w14:textId="2720EC6C" w:rsidR="004D2A86" w:rsidRDefault="007D3A74" w:rsidP="004D2A86">
      <w:pPr>
        <w:jc w:val="both"/>
        <w:rPr>
          <w:sz w:val="28"/>
          <w:szCs w:val="28"/>
        </w:rPr>
      </w:pPr>
      <w:r>
        <w:rPr>
          <w:sz w:val="28"/>
          <w:szCs w:val="28"/>
        </w:rPr>
        <w:t>D</w:t>
      </w:r>
      <w:r w:rsidR="00C4595D">
        <w:rPr>
          <w:sz w:val="28"/>
          <w:szCs w:val="28"/>
        </w:rPr>
        <w:t xml:space="preserve">e março </w:t>
      </w:r>
      <w:r w:rsidR="0047011C">
        <w:rPr>
          <w:sz w:val="28"/>
          <w:szCs w:val="28"/>
        </w:rPr>
        <w:t xml:space="preserve">de 25 </w:t>
      </w:r>
      <w:r w:rsidR="00C4595D">
        <w:rPr>
          <w:sz w:val="28"/>
          <w:szCs w:val="28"/>
        </w:rPr>
        <w:t>até agora,</w:t>
      </w:r>
      <w:r w:rsidR="0047011C">
        <w:rPr>
          <w:sz w:val="28"/>
          <w:szCs w:val="28"/>
        </w:rPr>
        <w:t xml:space="preserve"> </w:t>
      </w:r>
      <w:r w:rsidR="004D2A86">
        <w:rPr>
          <w:sz w:val="28"/>
          <w:szCs w:val="28"/>
        </w:rPr>
        <w:t xml:space="preserve">destaco </w:t>
      </w:r>
      <w:r w:rsidR="00A82BEE">
        <w:rPr>
          <w:sz w:val="28"/>
          <w:szCs w:val="28"/>
        </w:rPr>
        <w:t xml:space="preserve">a atuação </w:t>
      </w:r>
      <w:r w:rsidR="008E7D8C">
        <w:rPr>
          <w:sz w:val="28"/>
          <w:szCs w:val="28"/>
        </w:rPr>
        <w:t>d</w:t>
      </w:r>
      <w:r w:rsidR="00A82BEE">
        <w:rPr>
          <w:sz w:val="28"/>
          <w:szCs w:val="28"/>
        </w:rPr>
        <w:t xml:space="preserve">as Diretorias, com a emissão de </w:t>
      </w:r>
      <w:r w:rsidR="008E7D8C">
        <w:rPr>
          <w:sz w:val="28"/>
          <w:szCs w:val="28"/>
        </w:rPr>
        <w:t>oito</w:t>
      </w:r>
      <w:r w:rsidR="00D87888">
        <w:rPr>
          <w:sz w:val="28"/>
          <w:szCs w:val="28"/>
        </w:rPr>
        <w:t xml:space="preserve"> Notas Técnicas, </w:t>
      </w:r>
      <w:r w:rsidR="00D70835">
        <w:rPr>
          <w:sz w:val="28"/>
          <w:szCs w:val="28"/>
        </w:rPr>
        <w:t xml:space="preserve">e diversas fiscalizações concluídas, como </w:t>
      </w:r>
      <w:r w:rsidR="00FF242E">
        <w:rPr>
          <w:sz w:val="28"/>
          <w:szCs w:val="28"/>
        </w:rPr>
        <w:t xml:space="preserve">a auditoria sobre a implementação da LGPD, a auditoria </w:t>
      </w:r>
      <w:r w:rsidR="00EE4D0F">
        <w:rPr>
          <w:sz w:val="28"/>
          <w:szCs w:val="28"/>
        </w:rPr>
        <w:t>sobre a política socioeduca</w:t>
      </w:r>
      <w:r w:rsidR="00D70835">
        <w:rPr>
          <w:sz w:val="28"/>
          <w:szCs w:val="28"/>
        </w:rPr>
        <w:t>tiva</w:t>
      </w:r>
      <w:r w:rsidR="00EE4D0F">
        <w:rPr>
          <w:sz w:val="28"/>
          <w:szCs w:val="28"/>
        </w:rPr>
        <w:t xml:space="preserve"> </w:t>
      </w:r>
      <w:r w:rsidR="00D70835">
        <w:rPr>
          <w:sz w:val="28"/>
          <w:szCs w:val="28"/>
        </w:rPr>
        <w:t>d</w:t>
      </w:r>
      <w:r w:rsidR="00D32539">
        <w:rPr>
          <w:sz w:val="28"/>
          <w:szCs w:val="28"/>
        </w:rPr>
        <w:t xml:space="preserve">a FUNDASE, </w:t>
      </w:r>
      <w:r w:rsidR="00104964">
        <w:rPr>
          <w:sz w:val="28"/>
          <w:szCs w:val="28"/>
        </w:rPr>
        <w:t xml:space="preserve">a </w:t>
      </w:r>
      <w:r w:rsidR="00D70835">
        <w:rPr>
          <w:sz w:val="28"/>
          <w:szCs w:val="28"/>
        </w:rPr>
        <w:t xml:space="preserve">auditoria na destinação de emendas parlamentares, </w:t>
      </w:r>
      <w:r w:rsidR="00D32539">
        <w:rPr>
          <w:sz w:val="28"/>
          <w:szCs w:val="28"/>
        </w:rPr>
        <w:t xml:space="preserve">toda a atuação sobre a matéria de controle de </w:t>
      </w:r>
      <w:r w:rsidR="005357C6">
        <w:rPr>
          <w:sz w:val="28"/>
          <w:szCs w:val="28"/>
        </w:rPr>
        <w:t>pessoal e previdência,</w:t>
      </w:r>
      <w:r w:rsidR="00A0622A">
        <w:rPr>
          <w:sz w:val="28"/>
          <w:szCs w:val="28"/>
        </w:rPr>
        <w:t xml:space="preserve"> obras públicas</w:t>
      </w:r>
      <w:r w:rsidR="008E7D8C">
        <w:rPr>
          <w:sz w:val="28"/>
          <w:szCs w:val="28"/>
        </w:rPr>
        <w:t>,</w:t>
      </w:r>
      <w:r w:rsidR="00A0622A">
        <w:rPr>
          <w:sz w:val="28"/>
          <w:szCs w:val="28"/>
        </w:rPr>
        <w:t xml:space="preserve"> meio ambiente</w:t>
      </w:r>
      <w:r w:rsidR="00BA7A49">
        <w:rPr>
          <w:sz w:val="28"/>
          <w:szCs w:val="28"/>
        </w:rPr>
        <w:t xml:space="preserve"> e</w:t>
      </w:r>
      <w:r w:rsidR="00A0622A">
        <w:rPr>
          <w:sz w:val="28"/>
          <w:szCs w:val="28"/>
        </w:rPr>
        <w:t xml:space="preserve"> controle</w:t>
      </w:r>
      <w:r w:rsidR="000565D6">
        <w:rPr>
          <w:sz w:val="28"/>
          <w:szCs w:val="28"/>
        </w:rPr>
        <w:t>s</w:t>
      </w:r>
      <w:r w:rsidR="00A0622A">
        <w:rPr>
          <w:sz w:val="28"/>
          <w:szCs w:val="28"/>
        </w:rPr>
        <w:t xml:space="preserve"> </w:t>
      </w:r>
      <w:r w:rsidR="009B0CB4">
        <w:rPr>
          <w:sz w:val="28"/>
          <w:szCs w:val="28"/>
        </w:rPr>
        <w:t>estruturantes</w:t>
      </w:r>
      <w:r w:rsidR="00BA7A49">
        <w:rPr>
          <w:sz w:val="28"/>
          <w:szCs w:val="28"/>
        </w:rPr>
        <w:t>.</w:t>
      </w:r>
    </w:p>
    <w:p w14:paraId="041FD77B" w14:textId="5787B64A" w:rsidR="00CA6702" w:rsidRDefault="00FB7CA4" w:rsidP="001A4A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Além disso, </w:t>
      </w:r>
      <w:r w:rsidR="0047011C">
        <w:rPr>
          <w:sz w:val="28"/>
          <w:szCs w:val="28"/>
        </w:rPr>
        <w:t>seguimos</w:t>
      </w:r>
      <w:r w:rsidR="00C4595D">
        <w:rPr>
          <w:sz w:val="28"/>
          <w:szCs w:val="28"/>
        </w:rPr>
        <w:t xml:space="preserve"> alcan</w:t>
      </w:r>
      <w:r w:rsidR="0047011C">
        <w:rPr>
          <w:sz w:val="28"/>
          <w:szCs w:val="28"/>
        </w:rPr>
        <w:t>çando números significativos em avaliação de Contas de Governo</w:t>
      </w:r>
      <w:r w:rsidR="006F0A05">
        <w:rPr>
          <w:sz w:val="28"/>
          <w:szCs w:val="28"/>
        </w:rPr>
        <w:t xml:space="preserve"> Municipal e em Contas d</w:t>
      </w:r>
      <w:r w:rsidR="000565D6">
        <w:rPr>
          <w:sz w:val="28"/>
          <w:szCs w:val="28"/>
        </w:rPr>
        <w:t>o</w:t>
      </w:r>
      <w:r w:rsidR="006F0A05">
        <w:rPr>
          <w:sz w:val="28"/>
          <w:szCs w:val="28"/>
        </w:rPr>
        <w:t xml:space="preserve"> Chefe do Poder </w:t>
      </w:r>
      <w:r w:rsidR="00D70835">
        <w:rPr>
          <w:sz w:val="28"/>
          <w:szCs w:val="28"/>
        </w:rPr>
        <w:t xml:space="preserve">Executivo </w:t>
      </w:r>
      <w:r w:rsidR="006F0A05">
        <w:rPr>
          <w:sz w:val="28"/>
          <w:szCs w:val="28"/>
        </w:rPr>
        <w:t>Estadual</w:t>
      </w:r>
      <w:r w:rsidR="005F3541">
        <w:rPr>
          <w:sz w:val="28"/>
          <w:szCs w:val="28"/>
        </w:rPr>
        <w:t xml:space="preserve">, com </w:t>
      </w:r>
      <w:r w:rsidR="00AF54C5">
        <w:rPr>
          <w:sz w:val="28"/>
          <w:szCs w:val="28"/>
        </w:rPr>
        <w:t xml:space="preserve">138 contas </w:t>
      </w:r>
      <w:r w:rsidR="00543AAC">
        <w:rPr>
          <w:sz w:val="28"/>
          <w:szCs w:val="28"/>
        </w:rPr>
        <w:t>de governo municipais e 3 estaduais avaliadas, com Relatórios Técnicos emitidos.</w:t>
      </w:r>
    </w:p>
    <w:p w14:paraId="4BF27610" w14:textId="1476502B" w:rsidR="00CA6702" w:rsidRDefault="001A4AD5" w:rsidP="001A4AD5">
      <w:pPr>
        <w:jc w:val="both"/>
        <w:rPr>
          <w:b/>
          <w:bCs/>
          <w:sz w:val="28"/>
          <w:szCs w:val="28"/>
        </w:rPr>
      </w:pPr>
      <w:r w:rsidRPr="001A4AD5">
        <w:rPr>
          <w:sz w:val="28"/>
          <w:szCs w:val="28"/>
        </w:rPr>
        <w:t>Es</w:t>
      </w:r>
      <w:r w:rsidR="000565D6">
        <w:rPr>
          <w:sz w:val="28"/>
          <w:szCs w:val="28"/>
        </w:rPr>
        <w:t>s</w:t>
      </w:r>
      <w:r w:rsidRPr="001A4AD5">
        <w:rPr>
          <w:sz w:val="28"/>
          <w:szCs w:val="28"/>
        </w:rPr>
        <w:t xml:space="preserve">as ações não apenas apontam </w:t>
      </w:r>
      <w:r w:rsidR="004D2A86">
        <w:rPr>
          <w:sz w:val="28"/>
          <w:szCs w:val="28"/>
        </w:rPr>
        <w:t xml:space="preserve">o empenho das </w:t>
      </w:r>
      <w:r w:rsidR="007A598C">
        <w:rPr>
          <w:sz w:val="28"/>
          <w:szCs w:val="28"/>
        </w:rPr>
        <w:t>nossas equipes</w:t>
      </w:r>
      <w:r w:rsidRPr="001A4AD5">
        <w:rPr>
          <w:sz w:val="28"/>
          <w:szCs w:val="28"/>
        </w:rPr>
        <w:t xml:space="preserve">, mas também, e principalmente, induzem a melhoria contínua e a proteção do erário, confirmando a relevância social </w:t>
      </w:r>
      <w:r w:rsidR="00A2017A" w:rsidRPr="001A4AD5">
        <w:rPr>
          <w:sz w:val="28"/>
          <w:szCs w:val="28"/>
        </w:rPr>
        <w:t xml:space="preserve">da </w:t>
      </w:r>
      <w:r w:rsidR="00A2017A">
        <w:rPr>
          <w:sz w:val="28"/>
          <w:szCs w:val="28"/>
        </w:rPr>
        <w:t>função</w:t>
      </w:r>
      <w:r w:rsidR="0059791D">
        <w:rPr>
          <w:sz w:val="28"/>
          <w:szCs w:val="28"/>
        </w:rPr>
        <w:t xml:space="preserve"> de </w:t>
      </w:r>
      <w:r w:rsidRPr="001A4AD5">
        <w:rPr>
          <w:sz w:val="28"/>
          <w:szCs w:val="28"/>
        </w:rPr>
        <w:t>auditoria.</w:t>
      </w:r>
    </w:p>
    <w:p w14:paraId="29B2C83A" w14:textId="1A35ED41" w:rsidR="001A4AD5" w:rsidRPr="00A42D48" w:rsidRDefault="001A4AD5" w:rsidP="00A42D48">
      <w:pPr>
        <w:jc w:val="right"/>
        <w:rPr>
          <w:b/>
          <w:bCs/>
          <w:sz w:val="22"/>
          <w:szCs w:val="22"/>
        </w:rPr>
      </w:pPr>
      <w:r w:rsidRPr="00A42D48">
        <w:rPr>
          <w:b/>
          <w:bCs/>
          <w:sz w:val="22"/>
          <w:szCs w:val="22"/>
        </w:rPr>
        <w:t>Soluções Tecnológicas e o Futuro do Controle</w:t>
      </w:r>
    </w:p>
    <w:p w14:paraId="4AB8251F" w14:textId="315EF31C" w:rsidR="001A4AD5" w:rsidRPr="001A4AD5" w:rsidRDefault="001A4AD5" w:rsidP="001A4AD5">
      <w:pPr>
        <w:jc w:val="both"/>
        <w:rPr>
          <w:sz w:val="28"/>
          <w:szCs w:val="28"/>
        </w:rPr>
      </w:pPr>
      <w:r w:rsidRPr="001A4AD5">
        <w:rPr>
          <w:sz w:val="28"/>
          <w:szCs w:val="28"/>
        </w:rPr>
        <w:t xml:space="preserve">O ponto de inflexão do nosso trabalho é a intensa aplicação de </w:t>
      </w:r>
      <w:r w:rsidRPr="001A4AD5">
        <w:rPr>
          <w:b/>
          <w:bCs/>
          <w:sz w:val="28"/>
          <w:szCs w:val="28"/>
        </w:rPr>
        <w:t>Soluções Tecnológicas</w:t>
      </w:r>
      <w:r w:rsidRPr="001A4AD5">
        <w:rPr>
          <w:sz w:val="28"/>
          <w:szCs w:val="28"/>
        </w:rPr>
        <w:t xml:space="preserve">. Hoje, empregamos de forma direta ou indireta mais de 20 sistemas, soluções e ferramentas eletrônicas que suportam todas as etapas do ciclo de </w:t>
      </w:r>
      <w:r w:rsidR="00A42D48">
        <w:rPr>
          <w:sz w:val="28"/>
          <w:szCs w:val="28"/>
        </w:rPr>
        <w:t>auditoria</w:t>
      </w:r>
      <w:r w:rsidRPr="001A4AD5">
        <w:rPr>
          <w:sz w:val="28"/>
          <w:szCs w:val="28"/>
        </w:rPr>
        <w:t>.</w:t>
      </w:r>
    </w:p>
    <w:p w14:paraId="1574FE1E" w14:textId="1B8A406F" w:rsidR="001A4AD5" w:rsidRPr="001A4AD5" w:rsidRDefault="001A4AD5" w:rsidP="001A4AD5">
      <w:pPr>
        <w:jc w:val="both"/>
        <w:rPr>
          <w:sz w:val="28"/>
          <w:szCs w:val="28"/>
        </w:rPr>
      </w:pPr>
      <w:r w:rsidRPr="001A4AD5">
        <w:rPr>
          <w:sz w:val="28"/>
          <w:szCs w:val="28"/>
        </w:rPr>
        <w:lastRenderedPageBreak/>
        <w:t xml:space="preserve">O futuro do controle externo reside na inteligência de dados. Por isso, a SECEX está empenhada em </w:t>
      </w:r>
      <w:r w:rsidR="008A79AD">
        <w:rPr>
          <w:sz w:val="28"/>
          <w:szCs w:val="28"/>
        </w:rPr>
        <w:t xml:space="preserve">diversos </w:t>
      </w:r>
      <w:r w:rsidRPr="001A4AD5">
        <w:rPr>
          <w:sz w:val="28"/>
          <w:szCs w:val="28"/>
        </w:rPr>
        <w:t>projetos inovadores:</w:t>
      </w:r>
    </w:p>
    <w:p w14:paraId="44456EEF" w14:textId="6B428369" w:rsidR="001A4AD5" w:rsidRPr="001A4AD5" w:rsidRDefault="001A4AD5" w:rsidP="001A4AD5">
      <w:pPr>
        <w:numPr>
          <w:ilvl w:val="0"/>
          <w:numId w:val="1"/>
        </w:numPr>
        <w:jc w:val="both"/>
        <w:rPr>
          <w:sz w:val="28"/>
          <w:szCs w:val="28"/>
        </w:rPr>
      </w:pPr>
      <w:r w:rsidRPr="001A4AD5">
        <w:rPr>
          <w:sz w:val="28"/>
          <w:szCs w:val="28"/>
        </w:rPr>
        <w:t xml:space="preserve">Estamos desenvolvendo um sistema com </w:t>
      </w:r>
      <w:r w:rsidRPr="001A4AD5">
        <w:rPr>
          <w:b/>
          <w:bCs/>
          <w:sz w:val="28"/>
          <w:szCs w:val="28"/>
        </w:rPr>
        <w:t>Repositório de conhecimento para análise preditiva de tipologias</w:t>
      </w:r>
      <w:r w:rsidR="000F4D1F">
        <w:rPr>
          <w:b/>
          <w:bCs/>
          <w:sz w:val="28"/>
          <w:szCs w:val="28"/>
        </w:rPr>
        <w:t xml:space="preserve"> e irregularidades em despesas públicas, folhas de pagamento</w:t>
      </w:r>
      <w:r w:rsidRPr="001A4AD5">
        <w:rPr>
          <w:sz w:val="28"/>
          <w:szCs w:val="28"/>
        </w:rPr>
        <w:t xml:space="preserve"> e identificação de sinais de alerta de fraude em licitações</w:t>
      </w:r>
      <w:r w:rsidR="00A42D48">
        <w:rPr>
          <w:sz w:val="28"/>
          <w:szCs w:val="28"/>
        </w:rPr>
        <w:t>, o sistema Argos</w:t>
      </w:r>
      <w:r w:rsidRPr="001A4AD5">
        <w:rPr>
          <w:sz w:val="28"/>
          <w:szCs w:val="28"/>
        </w:rPr>
        <w:t>.</w:t>
      </w:r>
    </w:p>
    <w:p w14:paraId="68880C34" w14:textId="000A9813" w:rsidR="008A79AD" w:rsidRDefault="008A79AD" w:rsidP="001A4AD5">
      <w:pPr>
        <w:numPr>
          <w:ilvl w:val="0"/>
          <w:numId w:val="1"/>
        </w:numPr>
        <w:jc w:val="both"/>
        <w:rPr>
          <w:sz w:val="28"/>
          <w:szCs w:val="28"/>
        </w:rPr>
      </w:pPr>
      <w:r w:rsidRPr="008A79AD">
        <w:rPr>
          <w:sz w:val="28"/>
          <w:szCs w:val="28"/>
        </w:rPr>
        <w:t>Lançamos recentemente no evento do PNTP o Sistema</w:t>
      </w:r>
      <w:r>
        <w:rPr>
          <w:sz w:val="28"/>
          <w:szCs w:val="28"/>
        </w:rPr>
        <w:t xml:space="preserve"> </w:t>
      </w:r>
      <w:r w:rsidRPr="008A79AD">
        <w:rPr>
          <w:b/>
          <w:bCs/>
          <w:sz w:val="28"/>
          <w:szCs w:val="28"/>
        </w:rPr>
        <w:t>Luzia</w:t>
      </w:r>
      <w:r>
        <w:rPr>
          <w:sz w:val="28"/>
          <w:szCs w:val="28"/>
        </w:rPr>
        <w:t>, batizado pelo público presente, e que irá utilizar a IA para analisar a transparência pública dos jurisdicionados do Tribunal.</w:t>
      </w:r>
    </w:p>
    <w:p w14:paraId="637B25C5" w14:textId="20CFAB11" w:rsidR="008A79AD" w:rsidRPr="008A79AD" w:rsidRDefault="008A79AD" w:rsidP="001A4AD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Também estamos avançando decisivamente na utilização de IA no exame de atos de pessoal</w:t>
      </w:r>
      <w:r w:rsidR="000565D6">
        <w:rPr>
          <w:sz w:val="28"/>
          <w:szCs w:val="28"/>
        </w:rPr>
        <w:t>, com testes promissores e grande expectativa para 2026.</w:t>
      </w:r>
    </w:p>
    <w:p w14:paraId="09241BEE" w14:textId="46E18E0F" w:rsidR="001A4AD5" w:rsidRPr="001A4AD5" w:rsidRDefault="001A4AD5" w:rsidP="001A4AD5">
      <w:pPr>
        <w:jc w:val="both"/>
        <w:rPr>
          <w:sz w:val="28"/>
          <w:szCs w:val="28"/>
        </w:rPr>
      </w:pPr>
      <w:r w:rsidRPr="001A4AD5">
        <w:rPr>
          <w:sz w:val="28"/>
          <w:szCs w:val="28"/>
        </w:rPr>
        <w:t>Es</w:t>
      </w:r>
      <w:r w:rsidR="009B0CB4">
        <w:rPr>
          <w:sz w:val="28"/>
          <w:szCs w:val="28"/>
        </w:rPr>
        <w:t>s</w:t>
      </w:r>
      <w:r w:rsidRPr="001A4AD5">
        <w:rPr>
          <w:sz w:val="28"/>
          <w:szCs w:val="28"/>
        </w:rPr>
        <w:t xml:space="preserve">a transformação tecnológica é a nossa resposta aos </w:t>
      </w:r>
      <w:r w:rsidRPr="001A4AD5">
        <w:rPr>
          <w:b/>
          <w:bCs/>
          <w:sz w:val="28"/>
          <w:szCs w:val="28"/>
        </w:rPr>
        <w:t>Desafios</w:t>
      </w:r>
      <w:r w:rsidR="00157F33">
        <w:rPr>
          <w:sz w:val="28"/>
          <w:szCs w:val="28"/>
        </w:rPr>
        <w:t xml:space="preserve"> que enfrentamos</w:t>
      </w:r>
      <w:r w:rsidRPr="001A4AD5">
        <w:rPr>
          <w:sz w:val="28"/>
          <w:szCs w:val="28"/>
        </w:rPr>
        <w:t>.</w:t>
      </w:r>
    </w:p>
    <w:p w14:paraId="49503494" w14:textId="19075F3B" w:rsidR="001A4AD5" w:rsidRPr="00D10B76" w:rsidRDefault="001A4AD5" w:rsidP="00D10B76">
      <w:pPr>
        <w:jc w:val="right"/>
        <w:rPr>
          <w:b/>
          <w:bCs/>
          <w:sz w:val="22"/>
          <w:szCs w:val="22"/>
        </w:rPr>
      </w:pPr>
      <w:r w:rsidRPr="00D10B76">
        <w:rPr>
          <w:b/>
          <w:bCs/>
          <w:sz w:val="22"/>
          <w:szCs w:val="22"/>
        </w:rPr>
        <w:t>Conclusão: Compromisso Renovado</w:t>
      </w:r>
    </w:p>
    <w:p w14:paraId="3E133629" w14:textId="351AC17A" w:rsidR="001A4AD5" w:rsidRPr="001A4AD5" w:rsidRDefault="001A4AD5" w:rsidP="001A4AD5">
      <w:pPr>
        <w:jc w:val="both"/>
        <w:rPr>
          <w:sz w:val="28"/>
          <w:szCs w:val="28"/>
        </w:rPr>
      </w:pPr>
      <w:r w:rsidRPr="001A4AD5">
        <w:rPr>
          <w:sz w:val="28"/>
          <w:szCs w:val="28"/>
        </w:rPr>
        <w:t>Senhores Membros desta Corte, Sociedade Potiguar,</w:t>
      </w:r>
      <w:r w:rsidR="009B0CB4">
        <w:rPr>
          <w:sz w:val="28"/>
          <w:szCs w:val="28"/>
        </w:rPr>
        <w:t xml:space="preserve"> o</w:t>
      </w:r>
      <w:r w:rsidRPr="001A4AD5">
        <w:rPr>
          <w:sz w:val="28"/>
          <w:szCs w:val="28"/>
        </w:rPr>
        <w:t xml:space="preserve"> Relatório de Gestão é mais do que um balanço; é a materialização do nosso compromisso com </w:t>
      </w:r>
      <w:r w:rsidR="001976A0">
        <w:rPr>
          <w:sz w:val="28"/>
          <w:szCs w:val="28"/>
        </w:rPr>
        <w:t>a qualidade e com o resultado</w:t>
      </w:r>
      <w:r w:rsidRPr="001A4AD5">
        <w:rPr>
          <w:sz w:val="28"/>
          <w:szCs w:val="28"/>
        </w:rPr>
        <w:t>.</w:t>
      </w:r>
    </w:p>
    <w:p w14:paraId="79D8BA7D" w14:textId="77777777" w:rsidR="004D3EA7" w:rsidRDefault="001A4AD5" w:rsidP="001A4AD5">
      <w:pPr>
        <w:jc w:val="both"/>
        <w:rPr>
          <w:sz w:val="28"/>
          <w:szCs w:val="28"/>
        </w:rPr>
      </w:pPr>
      <w:r w:rsidRPr="001A4AD5">
        <w:rPr>
          <w:sz w:val="28"/>
          <w:szCs w:val="28"/>
        </w:rPr>
        <w:t xml:space="preserve">Agradeço a confiança do </w:t>
      </w:r>
      <w:r w:rsidR="009B0CB4">
        <w:rPr>
          <w:sz w:val="28"/>
          <w:szCs w:val="28"/>
        </w:rPr>
        <w:t>Tribunal</w:t>
      </w:r>
      <w:r w:rsidRPr="001A4AD5">
        <w:rPr>
          <w:sz w:val="28"/>
          <w:szCs w:val="28"/>
        </w:rPr>
        <w:t xml:space="preserve"> e a dedicação </w:t>
      </w:r>
      <w:r w:rsidR="00E6313C">
        <w:rPr>
          <w:sz w:val="28"/>
          <w:szCs w:val="28"/>
        </w:rPr>
        <w:t>de todos os</w:t>
      </w:r>
      <w:r w:rsidRPr="001A4AD5">
        <w:rPr>
          <w:sz w:val="28"/>
          <w:szCs w:val="28"/>
        </w:rPr>
        <w:t xml:space="preserve"> </w:t>
      </w:r>
      <w:r w:rsidR="004D3EA7">
        <w:rPr>
          <w:sz w:val="28"/>
          <w:szCs w:val="28"/>
        </w:rPr>
        <w:t xml:space="preserve">nossos </w:t>
      </w:r>
      <w:r w:rsidRPr="001A4AD5">
        <w:rPr>
          <w:sz w:val="28"/>
          <w:szCs w:val="28"/>
        </w:rPr>
        <w:t>servidor</w:t>
      </w:r>
      <w:r w:rsidR="00E6313C">
        <w:rPr>
          <w:sz w:val="28"/>
          <w:szCs w:val="28"/>
        </w:rPr>
        <w:t>es</w:t>
      </w:r>
      <w:r w:rsidRPr="001A4AD5">
        <w:rPr>
          <w:sz w:val="28"/>
          <w:szCs w:val="28"/>
        </w:rPr>
        <w:t xml:space="preserve">. </w:t>
      </w:r>
    </w:p>
    <w:p w14:paraId="76F35E45" w14:textId="6F6843E4" w:rsidR="001A4AD5" w:rsidRDefault="001A4AD5" w:rsidP="001A4AD5">
      <w:pPr>
        <w:jc w:val="both"/>
        <w:rPr>
          <w:sz w:val="28"/>
          <w:szCs w:val="28"/>
        </w:rPr>
      </w:pPr>
      <w:r w:rsidRPr="001A4AD5">
        <w:rPr>
          <w:sz w:val="28"/>
          <w:szCs w:val="28"/>
        </w:rPr>
        <w:t>É por meio des</w:t>
      </w:r>
      <w:r w:rsidR="009B0CB4">
        <w:rPr>
          <w:sz w:val="28"/>
          <w:szCs w:val="28"/>
        </w:rPr>
        <w:t>s</w:t>
      </w:r>
      <w:r w:rsidRPr="001A4AD5">
        <w:rPr>
          <w:sz w:val="28"/>
          <w:szCs w:val="28"/>
        </w:rPr>
        <w:t xml:space="preserve">e trabalho em equipe que o Tribunal de Contas reafirma seu papel essencial como guardião da </w:t>
      </w:r>
      <w:r w:rsidR="009B0CB4">
        <w:rPr>
          <w:sz w:val="28"/>
          <w:szCs w:val="28"/>
        </w:rPr>
        <w:t>integridade</w:t>
      </w:r>
      <w:r w:rsidRPr="001A4AD5">
        <w:rPr>
          <w:sz w:val="28"/>
          <w:szCs w:val="28"/>
        </w:rPr>
        <w:t xml:space="preserve"> e indutor da boa gestão em nosso estado.</w:t>
      </w:r>
    </w:p>
    <w:p w14:paraId="42D12D35" w14:textId="06452E25" w:rsidR="008C1932" w:rsidRDefault="00216024" w:rsidP="00816182">
      <w:pPr>
        <w:jc w:val="both"/>
        <w:rPr>
          <w:sz w:val="28"/>
          <w:szCs w:val="28"/>
        </w:rPr>
      </w:pPr>
      <w:r>
        <w:rPr>
          <w:sz w:val="28"/>
          <w:szCs w:val="28"/>
        </w:rPr>
        <w:t>A SECEX e os Auditores de Controle Externo</w:t>
      </w:r>
      <w:r w:rsidR="00E6313C">
        <w:rPr>
          <w:sz w:val="28"/>
          <w:szCs w:val="28"/>
        </w:rPr>
        <w:t xml:space="preserve"> deste Tribunal</w:t>
      </w:r>
      <w:r>
        <w:rPr>
          <w:sz w:val="28"/>
          <w:szCs w:val="28"/>
        </w:rPr>
        <w:t xml:space="preserve"> seguem à disposição para bem cumprir </w:t>
      </w:r>
      <w:r w:rsidR="008C1932">
        <w:rPr>
          <w:sz w:val="28"/>
          <w:szCs w:val="28"/>
        </w:rPr>
        <w:t>sua missão</w:t>
      </w:r>
      <w:r>
        <w:rPr>
          <w:sz w:val="28"/>
          <w:szCs w:val="28"/>
        </w:rPr>
        <w:t>.</w:t>
      </w:r>
    </w:p>
    <w:p w14:paraId="5AB2D9B9" w14:textId="78C1EDEA" w:rsidR="002E5A7C" w:rsidRPr="001A4AD5" w:rsidRDefault="001A4AD5" w:rsidP="00816182">
      <w:pPr>
        <w:jc w:val="both"/>
        <w:rPr>
          <w:sz w:val="28"/>
          <w:szCs w:val="28"/>
        </w:rPr>
      </w:pPr>
      <w:r w:rsidRPr="001A4AD5">
        <w:rPr>
          <w:sz w:val="28"/>
          <w:szCs w:val="28"/>
        </w:rPr>
        <w:t>Muito obrigado.</w:t>
      </w:r>
    </w:p>
    <w:sectPr w:rsidR="002E5A7C" w:rsidRPr="001A4A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8715A"/>
    <w:multiLevelType w:val="multilevel"/>
    <w:tmpl w:val="A4C6E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9806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9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A7C"/>
    <w:rsid w:val="00042461"/>
    <w:rsid w:val="000565D6"/>
    <w:rsid w:val="00056F2E"/>
    <w:rsid w:val="000D66DE"/>
    <w:rsid w:val="000F4D1F"/>
    <w:rsid w:val="00104964"/>
    <w:rsid w:val="00157F33"/>
    <w:rsid w:val="001967AA"/>
    <w:rsid w:val="00196D47"/>
    <w:rsid w:val="001976A0"/>
    <w:rsid w:val="001A4AD5"/>
    <w:rsid w:val="001F1203"/>
    <w:rsid w:val="001F4DFF"/>
    <w:rsid w:val="00216024"/>
    <w:rsid w:val="00221E65"/>
    <w:rsid w:val="00284833"/>
    <w:rsid w:val="002A721E"/>
    <w:rsid w:val="002B78AD"/>
    <w:rsid w:val="002E5A7C"/>
    <w:rsid w:val="003604A4"/>
    <w:rsid w:val="0038321E"/>
    <w:rsid w:val="003F11D2"/>
    <w:rsid w:val="003F6EEB"/>
    <w:rsid w:val="00404DEF"/>
    <w:rsid w:val="00450650"/>
    <w:rsid w:val="0047011C"/>
    <w:rsid w:val="004D2A86"/>
    <w:rsid w:val="004D3EA7"/>
    <w:rsid w:val="0050263A"/>
    <w:rsid w:val="005357C6"/>
    <w:rsid w:val="00543AAC"/>
    <w:rsid w:val="0056653E"/>
    <w:rsid w:val="0059791D"/>
    <w:rsid w:val="005B577B"/>
    <w:rsid w:val="005C4A88"/>
    <w:rsid w:val="005D5F1D"/>
    <w:rsid w:val="005F3541"/>
    <w:rsid w:val="005F5590"/>
    <w:rsid w:val="006024B3"/>
    <w:rsid w:val="0060318C"/>
    <w:rsid w:val="00643D42"/>
    <w:rsid w:val="00663858"/>
    <w:rsid w:val="006F0A05"/>
    <w:rsid w:val="00714F53"/>
    <w:rsid w:val="00755285"/>
    <w:rsid w:val="007A598C"/>
    <w:rsid w:val="007D3A74"/>
    <w:rsid w:val="007E19F6"/>
    <w:rsid w:val="008131A3"/>
    <w:rsid w:val="00816182"/>
    <w:rsid w:val="00843488"/>
    <w:rsid w:val="008A79AD"/>
    <w:rsid w:val="008B2B64"/>
    <w:rsid w:val="008C1932"/>
    <w:rsid w:val="008E7D8C"/>
    <w:rsid w:val="009504AC"/>
    <w:rsid w:val="009B0CB4"/>
    <w:rsid w:val="009D7DDE"/>
    <w:rsid w:val="00A0622A"/>
    <w:rsid w:val="00A2017A"/>
    <w:rsid w:val="00A42D48"/>
    <w:rsid w:val="00A82BEE"/>
    <w:rsid w:val="00A9624C"/>
    <w:rsid w:val="00AC51F0"/>
    <w:rsid w:val="00AF54C5"/>
    <w:rsid w:val="00B006EC"/>
    <w:rsid w:val="00B01436"/>
    <w:rsid w:val="00B32BC9"/>
    <w:rsid w:val="00B46750"/>
    <w:rsid w:val="00B65F21"/>
    <w:rsid w:val="00BA7A49"/>
    <w:rsid w:val="00C34AFB"/>
    <w:rsid w:val="00C4595D"/>
    <w:rsid w:val="00C51AD0"/>
    <w:rsid w:val="00C87F96"/>
    <w:rsid w:val="00CA6702"/>
    <w:rsid w:val="00D10B76"/>
    <w:rsid w:val="00D1142A"/>
    <w:rsid w:val="00D2348F"/>
    <w:rsid w:val="00D31F27"/>
    <w:rsid w:val="00D32539"/>
    <w:rsid w:val="00D70835"/>
    <w:rsid w:val="00D87888"/>
    <w:rsid w:val="00DF5CAD"/>
    <w:rsid w:val="00E1559F"/>
    <w:rsid w:val="00E26E10"/>
    <w:rsid w:val="00E45249"/>
    <w:rsid w:val="00E6313C"/>
    <w:rsid w:val="00EE4D0F"/>
    <w:rsid w:val="00F86FE6"/>
    <w:rsid w:val="00FB1B5D"/>
    <w:rsid w:val="00FB7CA4"/>
    <w:rsid w:val="00FD394D"/>
    <w:rsid w:val="00FF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F575F"/>
  <w15:chartTrackingRefBased/>
  <w15:docId w15:val="{B52C0B21-390D-437A-9C34-B545DFC8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E5A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E5A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E5A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E5A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E5A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E5A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E5A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E5A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E5A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E5A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E5A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E5A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E5A7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E5A7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E5A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E5A7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E5A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E5A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E5A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E5A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E5A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E5A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E5A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E5A7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E5A7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E5A7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E5A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E5A7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E5A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751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Kleyton de Oliveira Amorim</dc:creator>
  <cp:keywords/>
  <dc:description/>
  <cp:lastModifiedBy>Marcelo Bergantin Oliveros</cp:lastModifiedBy>
  <cp:revision>81</cp:revision>
  <dcterms:created xsi:type="dcterms:W3CDTF">2025-12-15T14:31:00Z</dcterms:created>
  <dcterms:modified xsi:type="dcterms:W3CDTF">2025-12-17T12:45:00Z</dcterms:modified>
</cp:coreProperties>
</file>